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CB70" w14:textId="3BE5344F" w:rsidR="00AA74D3" w:rsidRPr="00AA74D3" w:rsidRDefault="00AA74D3" w:rsidP="00AA74D3">
      <w:pPr>
        <w:spacing w:after="60"/>
        <w:rPr>
          <w:b/>
          <w:bCs/>
          <w:u w:val="single"/>
        </w:rPr>
      </w:pPr>
      <w:r w:rsidRPr="00AA74D3">
        <w:rPr>
          <w:b/>
          <w:bCs/>
          <w:u w:val="single"/>
        </w:rPr>
        <w:t>Oponentský posudek k diplomové práci</w:t>
      </w:r>
    </w:p>
    <w:p w14:paraId="2526CFFD" w14:textId="63149835" w:rsidR="00AA74D3" w:rsidRDefault="00AA74D3" w:rsidP="00AA74D3">
      <w:pPr>
        <w:spacing w:after="60"/>
      </w:pPr>
      <w:r>
        <w:rPr>
          <w:b/>
          <w:bCs/>
        </w:rPr>
        <w:t xml:space="preserve">Diplomant: </w:t>
      </w:r>
      <w:r>
        <w:t>Matouš Kašpar</w:t>
      </w:r>
    </w:p>
    <w:p w14:paraId="5D05E2E4" w14:textId="77777777" w:rsidR="00AA74D3" w:rsidRDefault="00AA74D3" w:rsidP="00AA74D3">
      <w:pPr>
        <w:spacing w:after="60"/>
      </w:pPr>
      <w:r>
        <w:rPr>
          <w:b/>
          <w:bCs/>
        </w:rPr>
        <w:t xml:space="preserve">Název práce: </w:t>
      </w:r>
      <w:r>
        <w:t xml:space="preserve">Destruktivní síla informací /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Destructive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Information</w:t>
      </w:r>
      <w:proofErr w:type="spellEnd"/>
    </w:p>
    <w:p w14:paraId="45DE37B1" w14:textId="77777777" w:rsidR="00AA74D3" w:rsidRDefault="00AA74D3" w:rsidP="00AA74D3">
      <w:pPr>
        <w:spacing w:after="60"/>
      </w:pPr>
      <w:r>
        <w:rPr>
          <w:b/>
          <w:bCs/>
        </w:rPr>
        <w:t xml:space="preserve">Vedoucí diplomové práce: </w:t>
      </w:r>
      <w:r>
        <w:t>MgA. Marek Meduna, Ph.D., a MgA. Petr Dub, Ph.D.</w:t>
      </w:r>
    </w:p>
    <w:p w14:paraId="790B6C98" w14:textId="77777777" w:rsidR="00AA74D3" w:rsidRDefault="00AA74D3" w:rsidP="00AA74D3">
      <w:pPr>
        <w:spacing w:after="60"/>
      </w:pPr>
      <w:r>
        <w:rPr>
          <w:b/>
          <w:bCs/>
        </w:rPr>
        <w:t xml:space="preserve">Oponent: </w:t>
      </w:r>
      <w:r>
        <w:t>Mgr. Ján Gajdušek</w:t>
      </w:r>
    </w:p>
    <w:p w14:paraId="4652079E" w14:textId="77777777" w:rsidR="00AA74D3" w:rsidRDefault="00AA74D3" w:rsidP="00AA74D3">
      <w:pPr>
        <w:spacing w:after="240"/>
      </w:pPr>
      <w:r>
        <w:rPr>
          <w:b/>
          <w:bCs/>
        </w:rPr>
        <w:t xml:space="preserve">Akademický rok: </w:t>
      </w:r>
      <w:r>
        <w:t>2025/2026</w:t>
      </w:r>
    </w:p>
    <w:p w14:paraId="0E0218EC" w14:textId="3D866AD5" w:rsidR="00723BDA" w:rsidRDefault="00AA74D3" w:rsidP="00AA74D3">
      <w:pPr>
        <w:spacing w:after="160" w:line="312" w:lineRule="auto"/>
        <w:ind w:firstLine="360"/>
        <w:jc w:val="both"/>
      </w:pPr>
      <w:r>
        <w:t>Rozhodnutí diplomanta vystavit rozměrný, mimořádně detailně a modelářsk</w:t>
      </w:r>
      <w:r w:rsidR="00723BDA">
        <w:t>ým způsobem konstruovaný</w:t>
      </w:r>
      <w:r>
        <w:t xml:space="preserve"> plošný reliéf, pokládám za odvážné. Autor, který se</w:t>
      </w:r>
      <w:r w:rsidR="00723BDA">
        <w:t xml:space="preserve"> jako student malířského ateliéru</w:t>
      </w:r>
      <w:r>
        <w:t xml:space="preserve"> ve své tvorbě dosud pohyboval převážně v intencích a ploše malby, svou práci nyní rozšiřuje do podoby prostorově zpracovaného </w:t>
      </w:r>
      <w:proofErr w:type="spellStart"/>
      <w:r>
        <w:t>diorámatu</w:t>
      </w:r>
      <w:proofErr w:type="spellEnd"/>
      <w:r>
        <w:t xml:space="preserve">. </w:t>
      </w:r>
    </w:p>
    <w:p w14:paraId="53FB10BD" w14:textId="5EC46544" w:rsidR="00AA74D3" w:rsidRDefault="00AA74D3" w:rsidP="00AA74D3">
      <w:pPr>
        <w:spacing w:after="160" w:line="312" w:lineRule="auto"/>
        <w:ind w:firstLine="360"/>
        <w:jc w:val="both"/>
      </w:pPr>
      <w:r>
        <w:t>Na první pohled dílo připomíná výřez postapokalyptické krajiny nebo</w:t>
      </w:r>
      <w:r w:rsidR="002122FA">
        <w:t xml:space="preserve"> topografickou</w:t>
      </w:r>
      <w:r>
        <w:t xml:space="preserve"> mapu, u níž si nejsme jisti měřítkem. Vodítkem je nám lidská ruka, podobně jako v počítačových hrách s pohledem z první osoby, jež se noří do pomyslné vodní hladiny rozlité v krajině. Ve vodě však nacházíme </w:t>
      </w:r>
      <w:proofErr w:type="spellStart"/>
      <w:r>
        <w:t>heat</w:t>
      </w:r>
      <w:proofErr w:type="spellEnd"/>
      <w:r>
        <w:t xml:space="preserve"> mapy snímající pohyb našeho pohledu po obrazovce, jinde se precizně vymodelovaný terén rozpadá do obrazů generovaných umělou inteligencí, které prosvítají k povrchu. Jako by se pod vrstvou přírodních i člověkem vytvořených pozůstatků odkrývala vrstva digitálních vnitřností, jež vše, co vnímáme zrakem a smysly, pouze projektuje. Krajina tak naznačuje, že náš svět je se vší pravděpodobností jen projekcí</w:t>
      </w:r>
      <w:r w:rsidR="008C5F53">
        <w:t xml:space="preserve"> –</w:t>
      </w:r>
      <w:r>
        <w:t xml:space="preserve"> pod povrchem se skrývá robustní technologická struktura, která dění nahoře nejen ovládá, ale také promíchává a srovnává do jedné roviny.</w:t>
      </w:r>
    </w:p>
    <w:p w14:paraId="516FA1F4" w14:textId="10486269" w:rsidR="00AA74D3" w:rsidRDefault="00AA74D3" w:rsidP="00A2643D">
      <w:pPr>
        <w:spacing w:after="160" w:line="312" w:lineRule="auto"/>
        <w:ind w:firstLine="360"/>
        <w:jc w:val="both"/>
      </w:pPr>
      <w:r>
        <w:t xml:space="preserve">Ústředním objektem je torzo lidského těla, u nějž není jasné, zda se do okolní bažiny noří, nebo z ní vystupuje. Jeho spodní část se přímo rozpouští v terénu a z paže do krajiny vytéká krev, která při styku s okolím nese vícejazyčný nápis “Media </w:t>
      </w:r>
      <w:proofErr w:type="spellStart"/>
      <w:r>
        <w:t>offline</w:t>
      </w:r>
      <w:proofErr w:type="spellEnd"/>
      <w:r>
        <w:t xml:space="preserve">”. </w:t>
      </w:r>
      <w:r w:rsidRPr="004D4DF3">
        <w:t>Tento detail považuji za silnou metaforu</w:t>
      </w:r>
      <w:r>
        <w:t xml:space="preserve"> – l</w:t>
      </w:r>
      <w:r w:rsidRPr="004D4DF3">
        <w:t>idské trauma, tělesnost a organická tekutina jsou v momentu kontaktu</w:t>
      </w:r>
      <w:r>
        <w:t xml:space="preserve"> okolním prostředím</w:t>
      </w:r>
      <w:r w:rsidRPr="004D4DF3">
        <w:t xml:space="preserve"> okamžitě transformovány do systémové chyby.</w:t>
      </w:r>
      <w:r>
        <w:t xml:space="preserve"> Vidíme část kostry, pod kterou prosvítají střepy základních desek, takže zůstává nejasné, jde-li o kosti lidské, nebo o pozůstatek humanoidního stroje. Tetovaná paže torza (autor se ostatně živí i jako tatér) přechází v ruku, která se vynořuje až na jiném místě, takže její poloha vůči paži fyzikálně nedává smysl. To je možné číst jako </w:t>
      </w:r>
      <w:proofErr w:type="spellStart"/>
      <w:r>
        <w:t>glitch</w:t>
      </w:r>
      <w:proofErr w:type="spellEnd"/>
      <w:r>
        <w:t xml:space="preserve">, chybu ve vykreslení reality, jakou produkuje třeba </w:t>
      </w:r>
      <w:proofErr w:type="spellStart"/>
      <w:r>
        <w:t>Midjourney</w:t>
      </w:r>
      <w:proofErr w:type="spellEnd"/>
      <w:r>
        <w:t xml:space="preserve">, s čímž Kašpar pracuje </w:t>
      </w:r>
      <w:r w:rsidR="00335DB5">
        <w:t>opakovaně</w:t>
      </w:r>
      <w:r>
        <w:t>.</w:t>
      </w:r>
      <w:r w:rsidR="00A2643D">
        <w:t xml:space="preserve"> </w:t>
      </w:r>
      <w:r>
        <w:t xml:space="preserve">Chybějící trup nahrazuje žoviální tričko s motivačním citátem malířského televizního </w:t>
      </w:r>
      <w:proofErr w:type="spellStart"/>
      <w:r>
        <w:t>vlasáče</w:t>
      </w:r>
      <w:proofErr w:type="spellEnd"/>
      <w:r>
        <w:t xml:space="preserve"> Boba </w:t>
      </w:r>
      <w:proofErr w:type="spellStart"/>
      <w:r>
        <w:t>Rosse</w:t>
      </w:r>
      <w:proofErr w:type="spellEnd"/>
      <w:r>
        <w:t xml:space="preserve"> “No </w:t>
      </w:r>
      <w:proofErr w:type="spellStart"/>
      <w:r>
        <w:t>Mistakes</w:t>
      </w:r>
      <w:proofErr w:type="spellEnd"/>
      <w:r>
        <w:t xml:space="preserve">, Just Happy </w:t>
      </w:r>
      <w:proofErr w:type="spellStart"/>
      <w:r>
        <w:t>Accidents</w:t>
      </w:r>
      <w:proofErr w:type="spellEnd"/>
      <w:r>
        <w:t xml:space="preserve">”. </w:t>
      </w:r>
      <w:proofErr w:type="spellStart"/>
      <w:r>
        <w:t>Rossova</w:t>
      </w:r>
      <w:proofErr w:type="spellEnd"/>
      <w:r>
        <w:t xml:space="preserve"> tvář se přitom prolíná s postavou kouzelníka </w:t>
      </w:r>
      <w:proofErr w:type="spellStart"/>
      <w:r>
        <w:t>Gandalfa</w:t>
      </w:r>
      <w:proofErr w:type="spellEnd"/>
      <w:r>
        <w:t>, do níž se (jak autor upřesňuje) americká CIA stylizovala ve svých interních prezentacích o odposlechu a sledování. Dioráma pak doplňuje řada drobných „postav“ od spermií jako ztracených nositelů informace, po citáty z </w:t>
      </w:r>
      <w:proofErr w:type="spellStart"/>
      <w:r>
        <w:t>gamingového</w:t>
      </w:r>
      <w:proofErr w:type="spellEnd"/>
      <w:r>
        <w:t xml:space="preserve"> prostředí.</w:t>
      </w:r>
    </w:p>
    <w:p w14:paraId="42A4FABD" w14:textId="7BE8FFDD" w:rsidR="00AA74D3" w:rsidRDefault="00AA74D3" w:rsidP="00AA74D3">
      <w:pPr>
        <w:spacing w:after="160" w:line="312" w:lineRule="auto"/>
        <w:ind w:firstLine="360"/>
        <w:jc w:val="both"/>
      </w:pPr>
      <w:r>
        <w:t xml:space="preserve">Zdá se mi, že svým vyzněním dílo divákovi záměrně nenabízí žádnou naději – vše je již ztraceno a pomalu se topí v digitální kaši. Mohlo by to znít jako efektní gesto, ve skutečnosti však jde o </w:t>
      </w:r>
      <w:r w:rsidR="00DC142A">
        <w:t>výstižný</w:t>
      </w:r>
      <w:r>
        <w:t xml:space="preserve"> </w:t>
      </w:r>
      <w:r w:rsidR="00DC142A">
        <w:t>popis</w:t>
      </w:r>
      <w:r>
        <w:t xml:space="preserve"> sdílený</w:t>
      </w:r>
      <w:r w:rsidR="00DC142A">
        <w:t xml:space="preserve">ch pocitů </w:t>
      </w:r>
      <w:r>
        <w:t>apatie a rezignace, o syrovou generační výpověď</w:t>
      </w:r>
      <w:r w:rsidR="00DC142A">
        <w:t>,</w:t>
      </w:r>
      <w:r>
        <w:t xml:space="preserve"> spojenou s nespravedlivým nastavením světa, neradostnými vyhlídkami i probíhajícím environmentálním kolapsem. Kašparova bažina kyberprostoru, která nás fyzicky i duševně pohlcuje a tráví, dobře rezonuje s tím, co Mark </w:t>
      </w:r>
      <w:proofErr w:type="spellStart"/>
      <w:r>
        <w:t>Fisher</w:t>
      </w:r>
      <w:proofErr w:type="spellEnd"/>
      <w:r>
        <w:t xml:space="preserve"> popsal jako kapitalistický realismus – </w:t>
      </w:r>
      <w:r>
        <w:lastRenderedPageBreak/>
        <w:t xml:space="preserve">stav, v němž je snazší představit si konec světa než konec současného uspořádání. Oceňuji přitom, že práce svou bezvýchodnost nepřekrucuje v laciné memento a sebekriticky přiznává, že sama jako pokus prokopat se k realitě nevyhnutelně končí jako další projekce. </w:t>
      </w:r>
    </w:p>
    <w:p w14:paraId="4E33EA1E" w14:textId="1314EE0B" w:rsidR="00AA74D3" w:rsidRDefault="00AA74D3" w:rsidP="00AA74D3">
      <w:pPr>
        <w:spacing w:after="160" w:line="312" w:lineRule="auto"/>
        <w:ind w:firstLine="360"/>
        <w:jc w:val="both"/>
      </w:pPr>
      <w:r>
        <w:rPr>
          <w:color w:val="000000"/>
        </w:rPr>
        <w:t xml:space="preserve">Teoretický text práce vykazuje vysokou míru intelektuální ambice. Kašpar přesvědčivě definuje stav „epistemického kolapsu“, v němž se informace proměnila v „korozivní sediment“. Využívá termín „plochá ontologie“ k popisu situace, kdy globální lidské tragédie a bezvýznamný internetový balast </w:t>
      </w:r>
      <w:r w:rsidRPr="00DC142A">
        <w:rPr>
          <w:color w:val="000000"/>
        </w:rPr>
        <w:t xml:space="preserve">(AI </w:t>
      </w:r>
      <w:proofErr w:type="spellStart"/>
      <w:r w:rsidRPr="00DC142A">
        <w:rPr>
          <w:color w:val="000000"/>
        </w:rPr>
        <w:t>slop</w:t>
      </w:r>
      <w:proofErr w:type="spellEnd"/>
      <w:r w:rsidRPr="00DC142A">
        <w:rPr>
          <w:color w:val="000000"/>
        </w:rPr>
        <w:t>)</w:t>
      </w:r>
      <w:r>
        <w:rPr>
          <w:color w:val="000000"/>
        </w:rPr>
        <w:t xml:space="preserve"> sdílejí stejné rozhraní displeje a získávají tím totožný status vizuální naléhavosti, což ústí v „demokratizaci prázdnoty“.</w:t>
      </w:r>
      <w:r>
        <w:t xml:space="preserve"> </w:t>
      </w:r>
      <w:r w:rsidRPr="00C14E18">
        <w:t xml:space="preserve">Za nejoriginálnější </w:t>
      </w:r>
      <w:r>
        <w:t>část</w:t>
      </w:r>
      <w:r w:rsidRPr="00C14E18">
        <w:t xml:space="preserve"> považuji kapitolu III. o „Kognitivní pasti“, kde autor analyzuje, jak algoritmická infrastruktura extraktivního kapitalismu parazituje na lidských evolučních </w:t>
      </w:r>
      <w:proofErr w:type="spellStart"/>
      <w:r w:rsidRPr="00C14E18">
        <w:t>biogramech</w:t>
      </w:r>
      <w:proofErr w:type="spellEnd"/>
      <w:r w:rsidRPr="00C14E18">
        <w:t xml:space="preserve">. Převod bazálních pudů do konkrétních patologií </w:t>
      </w:r>
      <w:r w:rsidR="00DC142A">
        <w:t xml:space="preserve">naší </w:t>
      </w:r>
      <w:r w:rsidRPr="00C14E18">
        <w:t>digitální éry</w:t>
      </w:r>
      <w:r>
        <w:t>, v podobě</w:t>
      </w:r>
      <w:r w:rsidRPr="00C14E18">
        <w:t xml:space="preserve"> hladu transformovaného do chronického přejídání či reprodukčního pudu saturovaného fenoménem</w:t>
      </w:r>
      <w:r>
        <w:t xml:space="preserve"> </w:t>
      </w:r>
      <w:proofErr w:type="spellStart"/>
      <w:r>
        <w:t>gooningu</w:t>
      </w:r>
      <w:proofErr w:type="spellEnd"/>
      <w:r w:rsidRPr="00C14E18">
        <w:t xml:space="preserve"> a platformou </w:t>
      </w:r>
      <w:proofErr w:type="spellStart"/>
      <w:r w:rsidRPr="00C14E18">
        <w:t>OnlyFans</w:t>
      </w:r>
      <w:proofErr w:type="spellEnd"/>
      <w:r>
        <w:t>,</w:t>
      </w:r>
      <w:r w:rsidRPr="00C14E18">
        <w:t xml:space="preserve"> dáv</w:t>
      </w:r>
      <w:r w:rsidR="00DC142A">
        <w:t>ají</w:t>
      </w:r>
      <w:r w:rsidRPr="00C14E18">
        <w:t xml:space="preserve"> projektu mimořádnou aktuálnost.</w:t>
      </w:r>
      <w:r>
        <w:t xml:space="preserve"> Doprovodný text by</w:t>
      </w:r>
      <w:r w:rsidR="00DC142A">
        <w:t xml:space="preserve"> ale</w:t>
      </w:r>
      <w:r>
        <w:t xml:space="preserve"> současně unesl pevnější ukotvení pojmů, s nimiž autor nakládá, především pojmu </w:t>
      </w:r>
      <w:proofErr w:type="spellStart"/>
      <w:r>
        <w:t>simulakrum</w:t>
      </w:r>
      <w:proofErr w:type="spellEnd"/>
      <w:r>
        <w:t xml:space="preserve">, jehož </w:t>
      </w:r>
      <w:proofErr w:type="spellStart"/>
      <w:r>
        <w:t>baudrillardovský</w:t>
      </w:r>
      <w:proofErr w:type="spellEnd"/>
      <w:r>
        <w:t xml:space="preserve"> původ není nikde citován. Vážnější výhradu mám vlastně jen jednu a týká se konzistence. </w:t>
      </w:r>
    </w:p>
    <w:p w14:paraId="38A96959" w14:textId="7E1DB555" w:rsidR="00AA74D3" w:rsidRPr="00F05E5F" w:rsidRDefault="00AA74D3" w:rsidP="00AA74D3">
      <w:pPr>
        <w:spacing w:after="160" w:line="312" w:lineRule="auto"/>
        <w:ind w:firstLine="360"/>
        <w:jc w:val="both"/>
      </w:pPr>
      <w:r>
        <w:t xml:space="preserve">Posuzujeme-li dílo se znalostí dosavadní, převážně malířské tvorby Matouše Kašpara, je jeho diplomová práce zásadním vybočením. Ve své malbě autor dospěl k rozpoznatelnému uměleckému jazyku a svá témata dokázal kódovat do humorně depresivních scén čerpajících z absurdit zahlceného digitálního světa. V tom podle mého dosáhl vysoké úrovně (v českém prostředí je </w:t>
      </w:r>
      <w:r w:rsidR="00DC142A">
        <w:t>tomuto</w:t>
      </w:r>
      <w:r>
        <w:t xml:space="preserve"> blízký malířský přístup např. Jozefa Mrvy ml., v zahraničí pak s podobnými vizuálními </w:t>
      </w:r>
      <w:proofErr w:type="spellStart"/>
      <w:r>
        <w:t>glitchi</w:t>
      </w:r>
      <w:proofErr w:type="spellEnd"/>
      <w:r>
        <w:t xml:space="preserve"> pracují např</w:t>
      </w:r>
      <w:r w:rsidR="00DC142A">
        <w:t>.</w:t>
      </w:r>
      <w:r>
        <w:t xml:space="preserve"> Craig </w:t>
      </w:r>
      <w:proofErr w:type="spellStart"/>
      <w:r>
        <w:t>Boagey</w:t>
      </w:r>
      <w:proofErr w:type="spellEnd"/>
      <w:r>
        <w:t xml:space="preserve"> či Bora </w:t>
      </w:r>
      <w:proofErr w:type="spellStart"/>
      <w:r>
        <w:t>Akıncıtürk</w:t>
      </w:r>
      <w:proofErr w:type="spellEnd"/>
      <w:r>
        <w:t xml:space="preserve">). Je pochopitelné a legitimní, že v určité tvůrčí fázi přichází touha překročit hranice zvoleného média – a autor ji zde naplnil s obdivuhodnou přesvědčivostí a perfekcionismem – předložená práce ale nemusí být nutným vyústěním autorem zmíněného kolapsu dřívějšího malířského směřování. Naopak může být i začátkem, jak </w:t>
      </w:r>
      <w:r w:rsidR="00DC142A">
        <w:t>oba tyto</w:t>
      </w:r>
      <w:r>
        <w:t xml:space="preserve"> přístupy propojit (jak ukazuje např. </w:t>
      </w:r>
      <w:proofErr w:type="spellStart"/>
      <w:r>
        <w:t>Trey</w:t>
      </w:r>
      <w:proofErr w:type="spellEnd"/>
      <w:r>
        <w:t xml:space="preserve"> </w:t>
      </w:r>
      <w:proofErr w:type="spellStart"/>
      <w:r>
        <w:t>Abdella</w:t>
      </w:r>
      <w:proofErr w:type="spellEnd"/>
      <w:r>
        <w:t>).</w:t>
      </w:r>
    </w:p>
    <w:p w14:paraId="563B5D1D" w14:textId="11CD7D27" w:rsidR="00AA74D3" w:rsidRPr="00C14E18" w:rsidRDefault="00AA74D3" w:rsidP="00AA74D3">
      <w:pPr>
        <w:spacing w:before="200" w:after="120"/>
        <w:rPr>
          <w:b/>
          <w:bCs/>
        </w:rPr>
      </w:pPr>
      <w:r w:rsidRPr="00C14E18">
        <w:rPr>
          <w:b/>
          <w:bCs/>
        </w:rPr>
        <w:t xml:space="preserve">Doporučuji udělení titulu MgA. </w:t>
      </w:r>
      <w:r w:rsidR="00911A76">
        <w:rPr>
          <w:b/>
          <w:bCs/>
        </w:rPr>
        <w:t>a</w:t>
      </w:r>
      <w:r w:rsidRPr="00C14E18">
        <w:rPr>
          <w:b/>
          <w:bCs/>
        </w:rPr>
        <w:t xml:space="preserve"> navrhuji hodnocení: výborně (1).</w:t>
      </w:r>
    </w:p>
    <w:p w14:paraId="3E6FFCF3" w14:textId="77777777" w:rsidR="00AA74D3" w:rsidRDefault="00AA74D3" w:rsidP="00AA74D3">
      <w:pPr>
        <w:spacing w:before="200" w:after="120"/>
      </w:pPr>
      <w:r>
        <w:rPr>
          <w:b/>
          <w:bCs/>
          <w:sz w:val="23"/>
          <w:szCs w:val="23"/>
        </w:rPr>
        <w:t>Otázky k obhajobě:</w:t>
      </w:r>
    </w:p>
    <w:p w14:paraId="6947C0D4" w14:textId="77777777" w:rsidR="00AA74D3" w:rsidRDefault="00AA74D3" w:rsidP="00AA74D3">
      <w:pPr>
        <w:spacing w:after="160" w:line="312" w:lineRule="auto"/>
        <w:jc w:val="both"/>
      </w:pPr>
      <w:r>
        <w:t>Vnímáte své dosavadní malířské scény a tento prostorový reliéf jako dvě fáze téhož hledání, anebo jako definitivní rozchod s jedním jazykem ve prospěch jiného?</w:t>
      </w:r>
    </w:p>
    <w:p w14:paraId="74333996" w14:textId="64EC768B" w:rsidR="00330B32" w:rsidRDefault="00AA74D3" w:rsidP="00AA74D3">
      <w:pPr>
        <w:spacing w:after="160" w:line="312" w:lineRule="auto"/>
        <w:jc w:val="both"/>
      </w:pPr>
      <w:r>
        <w:rPr>
          <w:color w:val="000000"/>
        </w:rPr>
        <w:t xml:space="preserve">Ve Vaší práci reflektujete tzv. „sisyfovský paradox“, kdy se snaha prokopat se skrze </w:t>
      </w:r>
      <w:proofErr w:type="spellStart"/>
      <w:r>
        <w:rPr>
          <w:color w:val="000000"/>
        </w:rPr>
        <w:t>simulakra</w:t>
      </w:r>
      <w:proofErr w:type="spellEnd"/>
      <w:r>
        <w:rPr>
          <w:color w:val="000000"/>
        </w:rPr>
        <w:t xml:space="preserve"> k realitě stává dalším </w:t>
      </w:r>
      <w:proofErr w:type="spellStart"/>
      <w:r>
        <w:rPr>
          <w:color w:val="000000"/>
        </w:rPr>
        <w:t>simulakrem</w:t>
      </w:r>
      <w:proofErr w:type="spellEnd"/>
      <w:r>
        <w:rPr>
          <w:color w:val="000000"/>
        </w:rPr>
        <w:t xml:space="preserve">. Jakým způsobem se tento teoretický koncept promítá do samotné divácké zkušenosti v prostoru knihovny? Je divák schopen toto napětí prožít čistě skrze </w:t>
      </w:r>
      <w:proofErr w:type="spellStart"/>
      <w:r>
        <w:rPr>
          <w:color w:val="000000"/>
        </w:rPr>
        <w:t>materialitu</w:t>
      </w:r>
      <w:proofErr w:type="spellEnd"/>
      <w:r>
        <w:rPr>
          <w:color w:val="000000"/>
        </w:rPr>
        <w:t xml:space="preserve"> děl, nebo je</w:t>
      </w:r>
      <w:r w:rsidR="005D4183">
        <w:rPr>
          <w:color w:val="000000"/>
        </w:rPr>
        <w:t xml:space="preserve"> četba</w:t>
      </w:r>
      <w:r>
        <w:rPr>
          <w:color w:val="000000"/>
        </w:rPr>
        <w:t xml:space="preserve"> V</w:t>
      </w:r>
      <w:r w:rsidR="005D4183">
        <w:rPr>
          <w:color w:val="000000"/>
        </w:rPr>
        <w:t>ašeho</w:t>
      </w:r>
      <w:r>
        <w:rPr>
          <w:color w:val="000000"/>
        </w:rPr>
        <w:t xml:space="preserve"> teoretick</w:t>
      </w:r>
      <w:r w:rsidR="005D4183">
        <w:rPr>
          <w:color w:val="000000"/>
        </w:rPr>
        <w:t>ého</w:t>
      </w:r>
      <w:r>
        <w:rPr>
          <w:color w:val="000000"/>
        </w:rPr>
        <w:t xml:space="preserve"> text</w:t>
      </w:r>
      <w:r w:rsidR="005D4183">
        <w:rPr>
          <w:color w:val="000000"/>
        </w:rPr>
        <w:t>u</w:t>
      </w:r>
      <w:r>
        <w:rPr>
          <w:color w:val="000000"/>
        </w:rPr>
        <w:t xml:space="preserve"> pro toto pochopení nezbytnou podmínkou?</w:t>
      </w:r>
    </w:p>
    <w:sectPr w:rsidR="00330B32" w:rsidSect="00AA7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4D3"/>
    <w:rsid w:val="002122FA"/>
    <w:rsid w:val="00330B32"/>
    <w:rsid w:val="00335DB5"/>
    <w:rsid w:val="005D4183"/>
    <w:rsid w:val="0060722D"/>
    <w:rsid w:val="00636515"/>
    <w:rsid w:val="006A5478"/>
    <w:rsid w:val="00723BDA"/>
    <w:rsid w:val="00785600"/>
    <w:rsid w:val="008C5F53"/>
    <w:rsid w:val="00911A76"/>
    <w:rsid w:val="00A2643D"/>
    <w:rsid w:val="00AA74D3"/>
    <w:rsid w:val="00B26383"/>
    <w:rsid w:val="00DC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737BB2"/>
  <w15:chartTrackingRefBased/>
  <w15:docId w15:val="{9DC0106D-E8AE-4E48-B652-91A37EBCE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74D3"/>
    <w:pPr>
      <w:spacing w:after="0" w:line="240" w:lineRule="auto"/>
    </w:pPr>
    <w:rPr>
      <w:rFonts w:ascii="Georgia" w:eastAsia="Georgia" w:hAnsi="Georgia" w:cs="Georgia"/>
      <w:kern w:val="0"/>
      <w:sz w:val="22"/>
      <w:szCs w:val="22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A74D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74D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74D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74D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74D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74D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74D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74D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74D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7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7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7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74D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74D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74D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74D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74D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74D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74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AA7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74D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AA7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74D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AA74D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74D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AA74D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7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74D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74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890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 Gajdušek</dc:creator>
  <cp:keywords/>
  <dc:description/>
  <cp:lastModifiedBy>Ján Gajdušek</cp:lastModifiedBy>
  <cp:revision>4</cp:revision>
  <cp:lastPrinted>2026-06-01T06:20:00Z</cp:lastPrinted>
  <dcterms:created xsi:type="dcterms:W3CDTF">2026-06-01T06:20:00Z</dcterms:created>
  <dcterms:modified xsi:type="dcterms:W3CDTF">2026-06-01T07:03:00Z</dcterms:modified>
</cp:coreProperties>
</file>