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A20" w:rsidRPr="00E35A20" w:rsidRDefault="00E35A20" w:rsidP="00E35A20">
      <w:pPr>
        <w:pStyle w:val="-wm-msonormal"/>
        <w:rPr>
          <w:rFonts w:ascii="Palatino Linotype" w:hAnsi="Palatino Linotype"/>
        </w:rPr>
      </w:pPr>
      <w:r w:rsidRPr="00E35A20">
        <w:rPr>
          <w:rFonts w:ascii="Palatino Linotype" w:hAnsi="Palatino Linotype"/>
        </w:rPr>
        <w:t xml:space="preserve">Oponentský posudek magisterské práce </w:t>
      </w:r>
    </w:p>
    <w:p w:rsidR="00E35A20" w:rsidRPr="00E35A20" w:rsidRDefault="00E35A20" w:rsidP="00E35A20">
      <w:pPr>
        <w:pStyle w:val="Normlnweb"/>
        <w:rPr>
          <w:rFonts w:ascii="Palatino Linotype" w:hAnsi="Palatino Linotype"/>
        </w:rPr>
      </w:pPr>
      <w:r w:rsidRPr="00E35A20">
        <w:rPr>
          <w:rFonts w:ascii="Palatino Linotype" w:hAnsi="Palatino Linotype"/>
        </w:rPr>
        <w:t xml:space="preserve">Tadeáš </w:t>
      </w:r>
      <w:proofErr w:type="spellStart"/>
      <w:r w:rsidRPr="00E35A20">
        <w:rPr>
          <w:rFonts w:ascii="Palatino Linotype" w:hAnsi="Palatino Linotype"/>
        </w:rPr>
        <w:t>Pochman</w:t>
      </w:r>
      <w:proofErr w:type="spellEnd"/>
      <w:r w:rsidRPr="00E35A20">
        <w:rPr>
          <w:rFonts w:ascii="Palatino Linotype" w:hAnsi="Palatino Linotype"/>
        </w:rPr>
        <w:t>: Postmoderna v přerodu: od pozitivní k temné postmoderně aneb návrat mýtu posvátna.</w:t>
      </w:r>
    </w:p>
    <w:p w:rsidR="00E35A20" w:rsidRPr="00E35A20" w:rsidRDefault="00E35A20" w:rsidP="00E35A20">
      <w:pPr>
        <w:pStyle w:val="-wm-msonormal"/>
        <w:rPr>
          <w:rFonts w:ascii="Palatino Linotype" w:hAnsi="Palatino Linotype"/>
        </w:rPr>
      </w:pPr>
      <w:r w:rsidRPr="00E35A20">
        <w:rPr>
          <w:rFonts w:ascii="Palatino Linotype" w:hAnsi="Palatino Linotype"/>
        </w:rPr>
        <w:t xml:space="preserve">Oponent: Petr </w:t>
      </w:r>
      <w:proofErr w:type="spellStart"/>
      <w:r w:rsidRPr="00E35A20">
        <w:rPr>
          <w:rFonts w:ascii="Palatino Linotype" w:hAnsi="Palatino Linotype"/>
        </w:rPr>
        <w:t>Vizina</w:t>
      </w:r>
      <w:proofErr w:type="spellEnd"/>
    </w:p>
    <w:p w:rsidR="00E35A20" w:rsidRDefault="00E35A20" w:rsidP="00E35A20">
      <w:pPr>
        <w:pStyle w:val="-wm-msonormal"/>
        <w:rPr>
          <w:rFonts w:ascii="Palatino Linotype" w:hAnsi="Palatino Linotype"/>
          <w:sz w:val="20"/>
          <w:szCs w:val="20"/>
        </w:rPr>
      </w:pPr>
    </w:p>
    <w:p w:rsidR="00E35A20" w:rsidRDefault="00E35A20" w:rsidP="00E35A20">
      <w:pPr>
        <w:pStyle w:val="-wm-msonormal"/>
      </w:pPr>
      <w:r>
        <w:rPr>
          <w:rFonts w:ascii="Palatino Linotype" w:hAnsi="Palatino Linotype"/>
          <w:sz w:val="20"/>
          <w:szCs w:val="20"/>
        </w:rPr>
        <w:t xml:space="preserve">Diplomant textem obhajoby své práce otevírá prostor pro umělecké vyjádření. V úvodu naznačí, že mezi dvěma epochami fázemi či epochami post-modernity existuje jakýsi přerod, transformace, </w:t>
      </w:r>
      <w:proofErr w:type="gramStart"/>
      <w:r>
        <w:rPr>
          <w:rFonts w:ascii="Palatino Linotype" w:hAnsi="Palatino Linotype"/>
          <w:sz w:val="20"/>
          <w:szCs w:val="20"/>
        </w:rPr>
        <w:t>jejíž</w:t>
      </w:r>
      <w:proofErr w:type="gramEnd"/>
      <w:r>
        <w:rPr>
          <w:rFonts w:ascii="Palatino Linotype" w:hAnsi="Palatino Linotype"/>
          <w:sz w:val="20"/>
          <w:szCs w:val="20"/>
        </w:rPr>
        <w:t xml:space="preserve"> výsledkem je návrat posvátna či návrat před odkouzlený svět (</w:t>
      </w:r>
      <w:proofErr w:type="spellStart"/>
      <w:r>
        <w:rPr>
          <w:rFonts w:ascii="Palatino Linotype" w:hAnsi="Palatino Linotype"/>
          <w:sz w:val="20"/>
          <w:szCs w:val="20"/>
        </w:rPr>
        <w:t>Chauchet</w:t>
      </w:r>
      <w:proofErr w:type="spellEnd"/>
      <w:r>
        <w:rPr>
          <w:rFonts w:ascii="Palatino Linotype" w:hAnsi="Palatino Linotype"/>
          <w:sz w:val="20"/>
          <w:szCs w:val="20"/>
        </w:rPr>
        <w:t xml:space="preserve">, 1985). Ranou post-modernu </w:t>
      </w:r>
      <w:proofErr w:type="spellStart"/>
      <w:r>
        <w:rPr>
          <w:rFonts w:ascii="Palatino Linotype" w:hAnsi="Palatino Linotype"/>
          <w:sz w:val="20"/>
          <w:szCs w:val="20"/>
        </w:rPr>
        <w:t>Pochman</w:t>
      </w:r>
      <w:proofErr w:type="spellEnd"/>
      <w:r>
        <w:rPr>
          <w:rFonts w:ascii="Palatino Linotype" w:hAnsi="Palatino Linotype"/>
          <w:sz w:val="20"/>
          <w:szCs w:val="20"/>
        </w:rPr>
        <w:t xml:space="preserve"> ve své úvaze označí za „pozitivní“ a její soudobou podobu naopak za „temnou“. Post-moderní situace (</w:t>
      </w:r>
      <w:proofErr w:type="spellStart"/>
      <w:r>
        <w:rPr>
          <w:rFonts w:ascii="Palatino Linotype" w:hAnsi="Palatino Linotype"/>
          <w:sz w:val="20"/>
          <w:szCs w:val="20"/>
        </w:rPr>
        <w:t>Lyotard</w:t>
      </w:r>
      <w:proofErr w:type="spellEnd"/>
      <w:r>
        <w:rPr>
          <w:rFonts w:ascii="Palatino Linotype" w:hAnsi="Palatino Linotype"/>
          <w:sz w:val="20"/>
          <w:szCs w:val="20"/>
        </w:rPr>
        <w:t xml:space="preserve">, 1979) se podle něj vyznačuje ztrátou univerzálně přijímané racionality, vede k regresi, k návratu mytologického uvažování a k tomu, co označuje za paralyzující relativismus. Právě post-sekulární návrat mytologického uvažování do zdánlivě racionálního světa tvoří myšlenkový rámec, v němž </w:t>
      </w:r>
      <w:proofErr w:type="spellStart"/>
      <w:r>
        <w:rPr>
          <w:rFonts w:ascii="Palatino Linotype" w:hAnsi="Palatino Linotype"/>
          <w:sz w:val="20"/>
          <w:szCs w:val="20"/>
        </w:rPr>
        <w:t>Pochman</w:t>
      </w:r>
      <w:proofErr w:type="spellEnd"/>
      <w:r>
        <w:rPr>
          <w:rFonts w:ascii="Palatino Linotype" w:hAnsi="Palatino Linotype"/>
          <w:sz w:val="20"/>
          <w:szCs w:val="20"/>
        </w:rPr>
        <w:t xml:space="preserve"> svá umělecká díla předkládá. Práci s motivy víry a náboženství je tedy možné reflektovat nejen umělecky, ale rovněž teologicky. Toto hodnocení bude pokusem o hodnocení v druhém zmíněném oboru, který se často zabývá lidským přesvědčením a uvažuje v pojmech důvěry či smyslu. </w:t>
      </w:r>
    </w:p>
    <w:p w:rsidR="00E35A20" w:rsidRDefault="00E35A20" w:rsidP="00E35A20">
      <w:pPr>
        <w:pStyle w:val="-wm-msonormal"/>
      </w:pPr>
      <w:r>
        <w:rPr>
          <w:rFonts w:ascii="Palatino Linotype" w:hAnsi="Palatino Linotype"/>
          <w:sz w:val="20"/>
          <w:szCs w:val="20"/>
        </w:rPr>
        <w:t xml:space="preserve">Za součást post-moderní situace, jak zmíněno, autor považuje návrat mytologií, resp. mytologického uvažování a argumentace do veřejného </w:t>
      </w:r>
      <w:proofErr w:type="spellStart"/>
      <w:r>
        <w:rPr>
          <w:rFonts w:ascii="Palatino Linotype" w:hAnsi="Palatino Linotype"/>
          <w:sz w:val="20"/>
          <w:szCs w:val="20"/>
        </w:rPr>
        <w:t>diskurzu</w:t>
      </w:r>
      <w:proofErr w:type="spellEnd"/>
      <w:r>
        <w:rPr>
          <w:rFonts w:ascii="Palatino Linotype" w:hAnsi="Palatino Linotype"/>
          <w:sz w:val="20"/>
          <w:szCs w:val="20"/>
        </w:rPr>
        <w:t>, včetně politického. Nejpozději od teroristického útoku na newyorské věže Světového obchodního centra 11. září 2001 se v religionistice, filosofii i politologii (</w:t>
      </w:r>
      <w:proofErr w:type="spellStart"/>
      <w:r>
        <w:rPr>
          <w:rFonts w:ascii="Palatino Linotype" w:hAnsi="Palatino Linotype"/>
          <w:sz w:val="20"/>
          <w:szCs w:val="20"/>
        </w:rPr>
        <w:t>Habermas</w:t>
      </w:r>
      <w:proofErr w:type="spellEnd"/>
      <w:r>
        <w:rPr>
          <w:rFonts w:ascii="Palatino Linotype" w:hAnsi="Palatino Linotype"/>
          <w:sz w:val="20"/>
          <w:szCs w:val="20"/>
        </w:rPr>
        <w:t xml:space="preserve">, </w:t>
      </w:r>
      <w:proofErr w:type="spellStart"/>
      <w:r>
        <w:rPr>
          <w:rFonts w:ascii="Palatino Linotype" w:hAnsi="Palatino Linotype"/>
          <w:sz w:val="20"/>
          <w:szCs w:val="20"/>
        </w:rPr>
        <w:t>Taylor</w:t>
      </w:r>
      <w:proofErr w:type="spellEnd"/>
      <w:r>
        <w:rPr>
          <w:rFonts w:ascii="Palatino Linotype" w:hAnsi="Palatino Linotype"/>
          <w:sz w:val="20"/>
          <w:szCs w:val="20"/>
        </w:rPr>
        <w:t xml:space="preserve">, </w:t>
      </w:r>
      <w:proofErr w:type="spellStart"/>
      <w:r>
        <w:rPr>
          <w:rFonts w:ascii="Palatino Linotype" w:hAnsi="Palatino Linotype"/>
          <w:sz w:val="20"/>
          <w:szCs w:val="20"/>
        </w:rPr>
        <w:t>Roy</w:t>
      </w:r>
      <w:proofErr w:type="spellEnd"/>
      <w:r>
        <w:rPr>
          <w:rFonts w:ascii="Palatino Linotype" w:hAnsi="Palatino Linotype"/>
          <w:sz w:val="20"/>
          <w:szCs w:val="20"/>
        </w:rPr>
        <w:t xml:space="preserve">) mluví o nástupu post-sekularismu v sekulární společnosti Západu a následně rovněž v globalizovaném světě. Náboženské </w:t>
      </w:r>
      <w:proofErr w:type="spellStart"/>
      <w:r>
        <w:rPr>
          <w:rFonts w:ascii="Palatino Linotype" w:hAnsi="Palatino Linotype"/>
          <w:sz w:val="20"/>
          <w:szCs w:val="20"/>
        </w:rPr>
        <w:t>narativy</w:t>
      </w:r>
      <w:proofErr w:type="spellEnd"/>
      <w:r>
        <w:rPr>
          <w:rFonts w:ascii="Palatino Linotype" w:hAnsi="Palatino Linotype"/>
          <w:sz w:val="20"/>
          <w:szCs w:val="20"/>
        </w:rPr>
        <w:t xml:space="preserve"> jsou na rozdíl od minulosti součástí veřejného </w:t>
      </w:r>
      <w:proofErr w:type="spellStart"/>
      <w:r>
        <w:rPr>
          <w:rFonts w:ascii="Palatino Linotype" w:hAnsi="Palatino Linotype"/>
          <w:sz w:val="20"/>
          <w:szCs w:val="20"/>
        </w:rPr>
        <w:t>diskurzu</w:t>
      </w:r>
      <w:proofErr w:type="spellEnd"/>
      <w:r>
        <w:rPr>
          <w:rFonts w:ascii="Palatino Linotype" w:hAnsi="Palatino Linotype"/>
          <w:sz w:val="20"/>
          <w:szCs w:val="20"/>
        </w:rPr>
        <w:t xml:space="preserve">, motivují, nebo vysvětlují politické preference či jednání. </w:t>
      </w:r>
    </w:p>
    <w:p w:rsidR="00E35A20" w:rsidRDefault="00E35A20" w:rsidP="00E35A20">
      <w:pPr>
        <w:pStyle w:val="-wm-msonormal"/>
      </w:pPr>
      <w:r>
        <w:rPr>
          <w:rFonts w:ascii="Palatino Linotype" w:hAnsi="Palatino Linotype"/>
          <w:sz w:val="20"/>
          <w:szCs w:val="20"/>
        </w:rPr>
        <w:t xml:space="preserve">Pozoruhodný je způsob, jakým </w:t>
      </w:r>
      <w:proofErr w:type="spellStart"/>
      <w:r>
        <w:rPr>
          <w:rFonts w:ascii="Palatino Linotype" w:hAnsi="Palatino Linotype"/>
          <w:sz w:val="20"/>
          <w:szCs w:val="20"/>
        </w:rPr>
        <w:t>Pochman</w:t>
      </w:r>
      <w:proofErr w:type="spellEnd"/>
      <w:r>
        <w:rPr>
          <w:rFonts w:ascii="Palatino Linotype" w:hAnsi="Palatino Linotype"/>
          <w:sz w:val="20"/>
          <w:szCs w:val="20"/>
        </w:rPr>
        <w:t xml:space="preserve"> téma víry otevírá. Náboženský instinkt nebo přesvědčení nejsou v jeho vyprávění čímsi přicházejícím zvnějšku v podobě výchovy, formujícího prostředí či snad indoktrinace. Spíše se jedná o jakési skryté motivy v nitru člověka, které se vyjevují prostřednictvím blízkých setkání s druhými, často do té doby neznámými lidmi. Autor uvádí, že zmíněná setkání prožil doslova na cestě, během putování.  </w:t>
      </w:r>
    </w:p>
    <w:p w:rsidR="00E35A20" w:rsidRDefault="00E35A20" w:rsidP="00E35A20">
      <w:pPr>
        <w:pStyle w:val="-wm-msonormal"/>
      </w:pPr>
      <w:r>
        <w:rPr>
          <w:rFonts w:ascii="Palatino Linotype" w:hAnsi="Palatino Linotype"/>
          <w:sz w:val="20"/>
          <w:szCs w:val="20"/>
        </w:rPr>
        <w:t xml:space="preserve">Text si těchto niterných motivů sdílené víry všímá a uvádí je do souvislosti se základními životními volbami, tedy rozhodnutími, která vytvářejí náš vlastní životní příběh, přičemž platí i naopak, že náš charakter je utvářen volbami, které činíme. </w:t>
      </w:r>
      <w:proofErr w:type="spellStart"/>
      <w:r>
        <w:rPr>
          <w:rFonts w:ascii="Palatino Linotype" w:hAnsi="Palatino Linotype"/>
          <w:sz w:val="20"/>
          <w:szCs w:val="20"/>
        </w:rPr>
        <w:t>Pochman</w:t>
      </w:r>
      <w:proofErr w:type="spellEnd"/>
      <w:r>
        <w:rPr>
          <w:rFonts w:ascii="Palatino Linotype" w:hAnsi="Palatino Linotype"/>
          <w:sz w:val="20"/>
          <w:szCs w:val="20"/>
        </w:rPr>
        <w:t xml:space="preserve"> naznačuje, že jsou obě perspektivy neoddělitelné, počítá s </w:t>
      </w:r>
      <w:proofErr w:type="gramStart"/>
      <w:r>
        <w:rPr>
          <w:rFonts w:ascii="Palatino Linotype" w:hAnsi="Palatino Linotype"/>
          <w:sz w:val="20"/>
          <w:szCs w:val="20"/>
        </w:rPr>
        <w:t>trajektorii</w:t>
      </w:r>
      <w:proofErr w:type="gramEnd"/>
      <w:r>
        <w:rPr>
          <w:rFonts w:ascii="Palatino Linotype" w:hAnsi="Palatino Linotype"/>
          <w:sz w:val="20"/>
          <w:szCs w:val="20"/>
        </w:rPr>
        <w:t xml:space="preserve"> dějů, v níž minulá rozhodnutí souvisejí s těmi, která teprve učiníme.  Propojením perspektiv minulosti a budoucna získává jedinec kvalitu, kterou </w:t>
      </w:r>
      <w:proofErr w:type="spellStart"/>
      <w:r>
        <w:rPr>
          <w:rFonts w:ascii="Palatino Linotype" w:hAnsi="Palatino Linotype"/>
          <w:sz w:val="20"/>
          <w:szCs w:val="20"/>
        </w:rPr>
        <w:t>Pochman</w:t>
      </w:r>
      <w:proofErr w:type="spellEnd"/>
      <w:r>
        <w:rPr>
          <w:rFonts w:ascii="Palatino Linotype" w:hAnsi="Palatino Linotype"/>
          <w:sz w:val="20"/>
          <w:szCs w:val="20"/>
        </w:rPr>
        <w:t xml:space="preserve"> pojmenoval „pevnost pohledu“.  </w:t>
      </w:r>
    </w:p>
    <w:p w:rsidR="00E35A20" w:rsidRDefault="00E35A20" w:rsidP="00E35A20">
      <w:pPr>
        <w:pStyle w:val="-wm-msonormal"/>
      </w:pPr>
      <w:r>
        <w:rPr>
          <w:rFonts w:ascii="Palatino Linotype" w:hAnsi="Palatino Linotype"/>
          <w:sz w:val="20"/>
          <w:szCs w:val="20"/>
        </w:rPr>
        <w:t xml:space="preserve">Implicitně tedy polemizuje s pojetím postmoderny, jejíž teoretické koncepty pracují s pojetím času jako čehosi fragmentárního a komprimovaného. Počítá s konceptem časové linearity, dějinnosti. Nabízí pohled na rozhodující momenty, pojmenované „body zlomu“, tedy jakési úběžníky na časové ose. Zmíněné body zlomu volí jako možnost zkoumání trasy, aniž by však naznačil, zda tím míní individuální cestu, nebo </w:t>
      </w:r>
      <w:proofErr w:type="spellStart"/>
      <w:r>
        <w:rPr>
          <w:rFonts w:ascii="Palatino Linotype" w:hAnsi="Palatino Linotype"/>
          <w:sz w:val="20"/>
          <w:szCs w:val="20"/>
        </w:rPr>
        <w:t>šířeji</w:t>
      </w:r>
      <w:proofErr w:type="spellEnd"/>
      <w:r>
        <w:rPr>
          <w:rFonts w:ascii="Palatino Linotype" w:hAnsi="Palatino Linotype"/>
          <w:sz w:val="20"/>
          <w:szCs w:val="20"/>
        </w:rPr>
        <w:t xml:space="preserve"> společenský vývoj, přičemž napětí mezi individuální a kolektivní zkušeností otevírá prostor pro umělecké ztvárnění. Body zlomu jsou v </w:t>
      </w:r>
      <w:proofErr w:type="spellStart"/>
      <w:r>
        <w:rPr>
          <w:rFonts w:ascii="Palatino Linotype" w:hAnsi="Palatino Linotype"/>
          <w:sz w:val="20"/>
          <w:szCs w:val="20"/>
        </w:rPr>
        <w:t>Pochmanově</w:t>
      </w:r>
      <w:proofErr w:type="spellEnd"/>
      <w:r>
        <w:rPr>
          <w:rFonts w:ascii="Palatino Linotype" w:hAnsi="Palatino Linotype"/>
          <w:sz w:val="20"/>
          <w:szCs w:val="20"/>
        </w:rPr>
        <w:t xml:space="preserve"> pojetí příležitostí zkoumat křižovatky a naše rozhodnutí, kudy se jako morální aktéři vydat. </w:t>
      </w:r>
    </w:p>
    <w:p w:rsidR="00E35A20" w:rsidRDefault="00E35A20" w:rsidP="00E35A20">
      <w:pPr>
        <w:pStyle w:val="-wm-msonormal"/>
      </w:pPr>
      <w:r>
        <w:rPr>
          <w:rFonts w:ascii="Palatino Linotype" w:hAnsi="Palatino Linotype"/>
          <w:sz w:val="20"/>
          <w:szCs w:val="20"/>
        </w:rPr>
        <w:lastRenderedPageBreak/>
        <w:t xml:space="preserve"> Skutečnost, že se naše svědectví o světě v subjektivním prožívání jednotlivce vždy nutně liší od svědectví a prožívání druhých, </w:t>
      </w:r>
      <w:proofErr w:type="spellStart"/>
      <w:r>
        <w:rPr>
          <w:rFonts w:ascii="Palatino Linotype" w:hAnsi="Palatino Linotype"/>
          <w:sz w:val="20"/>
          <w:szCs w:val="20"/>
        </w:rPr>
        <w:t>Pochman</w:t>
      </w:r>
      <w:proofErr w:type="spellEnd"/>
      <w:r>
        <w:rPr>
          <w:rFonts w:ascii="Palatino Linotype" w:hAnsi="Palatino Linotype"/>
          <w:sz w:val="20"/>
          <w:szCs w:val="20"/>
        </w:rPr>
        <w:t xml:space="preserve"> označuje za „fluidní svět dneška“. Post-moderní situaci například spojuje s pojmem „úsměv“, který ale může být zároveň ironickým úšklebkem, bolestnou grimasou, nebo naopak výrazem blaženosti. Uvedený detail slouží jako příklad </w:t>
      </w:r>
      <w:proofErr w:type="spellStart"/>
      <w:r>
        <w:rPr>
          <w:rFonts w:ascii="Palatino Linotype" w:hAnsi="Palatino Linotype"/>
          <w:sz w:val="20"/>
          <w:szCs w:val="20"/>
        </w:rPr>
        <w:t>Pochmanova</w:t>
      </w:r>
      <w:proofErr w:type="spellEnd"/>
      <w:r>
        <w:rPr>
          <w:rFonts w:ascii="Palatino Linotype" w:hAnsi="Palatino Linotype"/>
          <w:sz w:val="20"/>
          <w:szCs w:val="20"/>
        </w:rPr>
        <w:t xml:space="preserve"> uvažování o vztahu idejí k uměleckému vyjádření. </w:t>
      </w:r>
    </w:p>
    <w:p w:rsidR="00E35A20" w:rsidRDefault="00E35A20" w:rsidP="00E35A20">
      <w:pPr>
        <w:pStyle w:val="-wm-msonormal"/>
      </w:pPr>
      <w:r>
        <w:rPr>
          <w:rFonts w:ascii="Palatino Linotype" w:hAnsi="Palatino Linotype"/>
          <w:sz w:val="20"/>
          <w:szCs w:val="20"/>
        </w:rPr>
        <w:t>Umění zde neslouží k ilustraci myšlenek, jak je tomu u ideologického kýče, včetně kýče náboženského. Umění zde není instrumentem ve službách idejí, jejich ilustrací, jak je tomu ve fundamentalismech, včetně náboženského. Myšlenky zde otevírají pole, jehož krajní polohy často vytvářejí napětí, v němž umění zasazené do popisovaného rámce musí existovat.</w:t>
      </w:r>
    </w:p>
    <w:p w:rsidR="00E35A20" w:rsidRDefault="00E35A20" w:rsidP="00E35A20">
      <w:pPr>
        <w:pStyle w:val="-wm-msonormal"/>
      </w:pPr>
      <w:r>
        <w:rPr>
          <w:rFonts w:ascii="Palatino Linotype" w:hAnsi="Palatino Linotype"/>
          <w:sz w:val="20"/>
          <w:szCs w:val="20"/>
        </w:rPr>
        <w:t xml:space="preserve">Ve své práci </w:t>
      </w:r>
      <w:proofErr w:type="spellStart"/>
      <w:r>
        <w:rPr>
          <w:rFonts w:ascii="Palatino Linotype" w:hAnsi="Palatino Linotype"/>
          <w:sz w:val="20"/>
          <w:szCs w:val="20"/>
        </w:rPr>
        <w:t>Pochman</w:t>
      </w:r>
      <w:proofErr w:type="spellEnd"/>
      <w:r>
        <w:rPr>
          <w:rFonts w:ascii="Palatino Linotype" w:hAnsi="Palatino Linotype"/>
          <w:sz w:val="20"/>
          <w:szCs w:val="20"/>
        </w:rPr>
        <w:t xml:space="preserve"> představuje body zlomu, které podle něj „předurčily cestu“. Zda jde o vlastní, individuální, cestu, či kolektivní dějiny, autor nespecifikuje. Napětí mezi individuálním a kolektivním je jedním z umělecky plodných motivů předložené práce.   </w:t>
      </w:r>
    </w:p>
    <w:p w:rsidR="00E35A20" w:rsidRDefault="00E35A20" w:rsidP="00E35A20">
      <w:pPr>
        <w:pStyle w:val="-wm-msonormal"/>
      </w:pPr>
      <w:r>
        <w:rPr>
          <w:rFonts w:ascii="Palatino Linotype" w:hAnsi="Palatino Linotype"/>
          <w:sz w:val="20"/>
          <w:szCs w:val="20"/>
        </w:rPr>
        <w:t>U biblických výjevů, obrazů z dějin víry, teologie, post-</w:t>
      </w:r>
      <w:proofErr w:type="spellStart"/>
      <w:r>
        <w:rPr>
          <w:rFonts w:ascii="Palatino Linotype" w:hAnsi="Palatino Linotype"/>
          <w:sz w:val="20"/>
          <w:szCs w:val="20"/>
        </w:rPr>
        <w:t>sekularity</w:t>
      </w:r>
      <w:proofErr w:type="spellEnd"/>
      <w:r>
        <w:rPr>
          <w:rFonts w:ascii="Palatino Linotype" w:hAnsi="Palatino Linotype"/>
          <w:sz w:val="20"/>
          <w:szCs w:val="20"/>
        </w:rPr>
        <w:t xml:space="preserve">, nástupu nelidských režimů či ničivých válek a katastrof, </w:t>
      </w:r>
      <w:proofErr w:type="spellStart"/>
      <w:r>
        <w:rPr>
          <w:rFonts w:ascii="Palatino Linotype" w:hAnsi="Palatino Linotype"/>
          <w:sz w:val="20"/>
          <w:szCs w:val="20"/>
        </w:rPr>
        <w:t>Pochman</w:t>
      </w:r>
      <w:proofErr w:type="spellEnd"/>
      <w:r>
        <w:rPr>
          <w:rFonts w:ascii="Palatino Linotype" w:hAnsi="Palatino Linotype"/>
          <w:sz w:val="20"/>
          <w:szCs w:val="20"/>
        </w:rPr>
        <w:t xml:space="preserve"> osvědčuje autorský přístup poučený dějinami myšlení i umění. V textové části diplomové práce autor prokazuje schopnost originálního myšlení, například když si v tezi o konci dějin (</w:t>
      </w:r>
      <w:proofErr w:type="spellStart"/>
      <w:r>
        <w:rPr>
          <w:rFonts w:ascii="Palatino Linotype" w:hAnsi="Palatino Linotype"/>
          <w:sz w:val="20"/>
          <w:szCs w:val="20"/>
        </w:rPr>
        <w:t>Fukuyama</w:t>
      </w:r>
      <w:proofErr w:type="spellEnd"/>
      <w:r>
        <w:rPr>
          <w:rFonts w:ascii="Palatino Linotype" w:hAnsi="Palatino Linotype"/>
          <w:sz w:val="20"/>
          <w:szCs w:val="20"/>
        </w:rPr>
        <w:t xml:space="preserve">, 1989) povšimne motivu ztraceného ráje a spojí ji s biblickým obrazem Adama a Evy, když </w:t>
      </w:r>
      <w:proofErr w:type="spellStart"/>
      <w:r>
        <w:rPr>
          <w:rFonts w:ascii="Palatino Linotype" w:hAnsi="Palatino Linotype"/>
          <w:sz w:val="20"/>
          <w:szCs w:val="20"/>
        </w:rPr>
        <w:t>tématizuje</w:t>
      </w:r>
      <w:proofErr w:type="spellEnd"/>
      <w:r>
        <w:rPr>
          <w:rFonts w:ascii="Palatino Linotype" w:hAnsi="Palatino Linotype"/>
          <w:sz w:val="20"/>
          <w:szCs w:val="20"/>
        </w:rPr>
        <w:t xml:space="preserve"> mocenské zneužití náboženství odkazem k dobývání Konstantinopole během kruciát, anebo když si vybere v podstatě zasutý motiv z dějin evropské teologie, kdy budoucí papež Benedikt XVI prchá před studentskými bouřemi v 60. letech.      </w:t>
      </w:r>
    </w:p>
    <w:p w:rsidR="00E35A20" w:rsidRDefault="00E35A20" w:rsidP="00E35A20">
      <w:pPr>
        <w:pStyle w:val="-wm-msonormal"/>
        <w:rPr>
          <w:rFonts w:ascii="Palatino Linotype" w:hAnsi="Palatino Linotype"/>
          <w:sz w:val="20"/>
          <w:szCs w:val="20"/>
        </w:rPr>
      </w:pPr>
      <w:proofErr w:type="spellStart"/>
      <w:r>
        <w:rPr>
          <w:rFonts w:ascii="Palatino Linotype" w:hAnsi="Palatino Linotype"/>
          <w:sz w:val="20"/>
          <w:szCs w:val="20"/>
        </w:rPr>
        <w:t>Pochmanovo</w:t>
      </w:r>
      <w:proofErr w:type="spellEnd"/>
      <w:r>
        <w:rPr>
          <w:rFonts w:ascii="Palatino Linotype" w:hAnsi="Palatino Linotype"/>
          <w:sz w:val="20"/>
          <w:szCs w:val="20"/>
        </w:rPr>
        <w:t xml:space="preserve"> uvažování je zdařilým příkladem interdisciplinárního přístupu, který chápe autonomii a podstatu jednotlivých disciplín. Dokázal se vyhnout ilustrativnímu pojetí umění, zároveň se vyvaroval nápodoby myšlenek coby ozdoby nebo ozvláštnění uměleckého díla. Pro tuto myšlenkovou zralost a poctivost práci doporučuji k obhajobě.  </w:t>
      </w:r>
    </w:p>
    <w:p w:rsidR="00E35A20" w:rsidRDefault="00E35A20" w:rsidP="00E35A20">
      <w:pPr>
        <w:pStyle w:val="-wm-msonormal"/>
      </w:pPr>
      <w:r>
        <w:rPr>
          <w:rFonts w:ascii="Palatino Linotype" w:hAnsi="Palatino Linotype"/>
          <w:sz w:val="20"/>
          <w:szCs w:val="20"/>
        </w:rPr>
        <w:t>Navrhované hodnocení: Velmi dobře</w:t>
      </w:r>
    </w:p>
    <w:p w:rsidR="00E35A20" w:rsidRDefault="00E35A20" w:rsidP="00E35A20">
      <w:pPr>
        <w:pStyle w:val="-wm-msonormal"/>
      </w:pPr>
      <w:r>
        <w:rPr>
          <w:rFonts w:ascii="Palatino Linotype" w:hAnsi="Palatino Linotype"/>
          <w:sz w:val="20"/>
          <w:szCs w:val="20"/>
        </w:rPr>
        <w:t xml:space="preserve">Otázky k obhajobě: </w:t>
      </w:r>
    </w:p>
    <w:p w:rsidR="00E35A20" w:rsidRDefault="00E35A20" w:rsidP="00E35A20">
      <w:pPr>
        <w:pStyle w:val="-wm-msonormal"/>
      </w:pPr>
      <w:r>
        <w:rPr>
          <w:rFonts w:ascii="Palatino Linotype" w:hAnsi="Palatino Linotype"/>
          <w:sz w:val="20"/>
          <w:szCs w:val="20"/>
        </w:rPr>
        <w:t> </w:t>
      </w:r>
    </w:p>
    <w:p w:rsidR="00E35A20" w:rsidRDefault="00E35A20" w:rsidP="00E35A20">
      <w:pPr>
        <w:pStyle w:val="-wm-msonormal"/>
      </w:pPr>
      <w:r>
        <w:rPr>
          <w:rFonts w:ascii="Palatino Linotype" w:hAnsi="Palatino Linotype"/>
          <w:i/>
          <w:sz w:val="20"/>
          <w:szCs w:val="20"/>
        </w:rPr>
        <w:t>Co je největší uměleckou výzvou při zpodobnění Krista?</w:t>
      </w:r>
    </w:p>
    <w:p w:rsidR="00E35A20" w:rsidRDefault="00E35A20" w:rsidP="00E35A20">
      <w:pPr>
        <w:pStyle w:val="-wm-msonormal"/>
      </w:pPr>
      <w:r>
        <w:rPr>
          <w:rFonts w:ascii="Palatino Linotype" w:hAnsi="Palatino Linotype"/>
          <w:i/>
          <w:sz w:val="20"/>
          <w:szCs w:val="20"/>
        </w:rPr>
        <w:t xml:space="preserve">Jak rozumíte pojmu “náboženský kýč“ a jak se kýči vyhnout?: </w:t>
      </w:r>
    </w:p>
    <w:p w:rsidR="00E35A20" w:rsidRDefault="00E35A20" w:rsidP="00E35A20">
      <w:pPr>
        <w:pStyle w:val="-wm-msonormal"/>
      </w:pPr>
      <w:r>
        <w:rPr>
          <w:rFonts w:ascii="Palatino Linotype" w:hAnsi="Palatino Linotype"/>
          <w:i/>
          <w:sz w:val="20"/>
          <w:szCs w:val="20"/>
        </w:rPr>
        <w:t xml:space="preserve">V jakém vztahu je myšlení, včetně náboženského, k vašemu uměleckému vyjádření? </w:t>
      </w:r>
    </w:p>
    <w:p w:rsidR="00E35A20" w:rsidRDefault="00E35A20" w:rsidP="00E35A20">
      <w:pPr>
        <w:pStyle w:val="-wm-msonormal"/>
      </w:pPr>
      <w:r>
        <w:rPr>
          <w:rFonts w:ascii="Palatino Linotype" w:hAnsi="Palatino Linotype"/>
          <w:i/>
          <w:sz w:val="20"/>
          <w:szCs w:val="20"/>
        </w:rPr>
        <w:t xml:space="preserve">Co může být problematické na tom, když umělecká díla vyjadřují náboženské myšlenky? </w:t>
      </w:r>
    </w:p>
    <w:p w:rsidR="00E35A20" w:rsidRDefault="00E35A20" w:rsidP="00E35A20">
      <w:pPr>
        <w:pStyle w:val="-wm-msonormal"/>
      </w:pPr>
      <w:r>
        <w:rPr>
          <w:rFonts w:ascii="Palatino Linotype" w:hAnsi="Palatino Linotype"/>
          <w:i/>
          <w:sz w:val="20"/>
          <w:szCs w:val="20"/>
        </w:rPr>
        <w:t xml:space="preserve">Co může být problematické na tom, když tvůrci/tvůrkyně obhajují a vysvětlují umělecké dílo nábožensky? </w:t>
      </w:r>
      <w:r>
        <w:rPr>
          <w:rFonts w:ascii="Palatino Linotype" w:hAnsi="Palatino Linotype"/>
          <w:i/>
          <w:sz w:val="20"/>
          <w:szCs w:val="20"/>
        </w:rPr>
        <w:br/>
      </w:r>
      <w:r>
        <w:rPr>
          <w:rFonts w:ascii="Palatino Linotype" w:hAnsi="Palatino Linotype"/>
          <w:i/>
          <w:sz w:val="20"/>
          <w:szCs w:val="20"/>
        </w:rPr>
        <w:br/>
      </w:r>
    </w:p>
    <w:p w:rsidR="00E35A20" w:rsidRDefault="00E35A20" w:rsidP="00E35A20">
      <w:pPr>
        <w:pStyle w:val="-wm-msonormal"/>
      </w:pPr>
      <w:proofErr w:type="spellStart"/>
      <w:r>
        <w:rPr>
          <w:rFonts w:ascii="Palatino Linotype" w:hAnsi="Palatino Linotype"/>
          <w:sz w:val="20"/>
          <w:szCs w:val="20"/>
        </w:rPr>
        <w:t>ThLic</w:t>
      </w:r>
      <w:proofErr w:type="spellEnd"/>
      <w:r>
        <w:rPr>
          <w:rFonts w:ascii="Palatino Linotype" w:hAnsi="Palatino Linotype"/>
          <w:sz w:val="20"/>
          <w:szCs w:val="20"/>
        </w:rPr>
        <w:t xml:space="preserve">. Petr </w:t>
      </w:r>
      <w:proofErr w:type="spellStart"/>
      <w:r>
        <w:rPr>
          <w:rFonts w:ascii="Palatino Linotype" w:hAnsi="Palatino Linotype"/>
          <w:sz w:val="20"/>
          <w:szCs w:val="20"/>
        </w:rPr>
        <w:t>Vizina</w:t>
      </w:r>
      <w:proofErr w:type="spellEnd"/>
    </w:p>
    <w:p w:rsidR="00E35A20" w:rsidRDefault="00E35A20" w:rsidP="00E35A20">
      <w:pPr>
        <w:pStyle w:val="-wm-msonormal"/>
      </w:pPr>
      <w:proofErr w:type="spellStart"/>
      <w:r>
        <w:rPr>
          <w:rFonts w:ascii="Palatino Linotype" w:hAnsi="Palatino Linotype"/>
          <w:sz w:val="20"/>
          <w:szCs w:val="20"/>
        </w:rPr>
        <w:t>petr.vizina</w:t>
      </w:r>
      <w:proofErr w:type="spellEnd"/>
      <w:r>
        <w:rPr>
          <w:rFonts w:ascii="Palatino Linotype" w:hAnsi="Palatino Linotype"/>
          <w:sz w:val="20"/>
          <w:szCs w:val="20"/>
          <w:lang w:val="en-US"/>
        </w:rPr>
        <w:t>@</w:t>
      </w:r>
      <w:r>
        <w:rPr>
          <w:rFonts w:ascii="Palatino Linotype" w:hAnsi="Palatino Linotype"/>
          <w:sz w:val="20"/>
          <w:szCs w:val="20"/>
        </w:rPr>
        <w:t>email.</w:t>
      </w:r>
      <w:proofErr w:type="spellStart"/>
      <w:r>
        <w:rPr>
          <w:rFonts w:ascii="Palatino Linotype" w:hAnsi="Palatino Linotype"/>
          <w:sz w:val="20"/>
          <w:szCs w:val="20"/>
        </w:rPr>
        <w:t>cz</w:t>
      </w:r>
      <w:proofErr w:type="spellEnd"/>
    </w:p>
    <w:p w:rsidR="00BC0236" w:rsidRDefault="00E35A20" w:rsidP="00E35A20">
      <w:pPr>
        <w:pStyle w:val="-wm-msonormal"/>
      </w:pPr>
      <w:r>
        <w:rPr>
          <w:rFonts w:ascii="Palatino Linotype" w:hAnsi="Palatino Linotype"/>
          <w:sz w:val="20"/>
          <w:szCs w:val="20"/>
        </w:rPr>
        <w:t>777831967</w:t>
      </w:r>
    </w:p>
    <w:sectPr w:rsidR="00BC0236" w:rsidSect="00BC023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proofState w:spelling="clean" w:grammar="clean"/>
  <w:defaultTabStop w:val="708"/>
  <w:hyphenationZone w:val="425"/>
  <w:characterSpacingControl w:val="doNotCompress"/>
  <w:compat/>
  <w:rsids>
    <w:rsidRoot w:val="00E35A20"/>
    <w:rsid w:val="00BC0236"/>
    <w:rsid w:val="00E35A2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C0236"/>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wm-msonormal">
    <w:name w:val="-wm-msonormal"/>
    <w:basedOn w:val="Normln"/>
    <w:rsid w:val="00E35A2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unhideWhenUsed/>
    <w:rsid w:val="00E35A20"/>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divs>
    <w:div w:id="186911796">
      <w:bodyDiv w:val="1"/>
      <w:marLeft w:val="0"/>
      <w:marRight w:val="0"/>
      <w:marTop w:val="0"/>
      <w:marBottom w:val="0"/>
      <w:divBdr>
        <w:top w:val="none" w:sz="0" w:space="0" w:color="auto"/>
        <w:left w:val="none" w:sz="0" w:space="0" w:color="auto"/>
        <w:bottom w:val="none" w:sz="0" w:space="0" w:color="auto"/>
        <w:right w:val="none" w:sz="0" w:space="0" w:color="auto"/>
      </w:divBdr>
    </w:div>
    <w:div w:id="183248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846</Words>
  <Characters>4993</Characters>
  <Application>Microsoft Office Word</Application>
  <DocSecurity>0</DocSecurity>
  <Lines>41</Lines>
  <Paragraphs>11</Paragraphs>
  <ScaleCrop>false</ScaleCrop>
  <Company/>
  <LinksUpToDate>false</LinksUpToDate>
  <CharactersWithSpaces>5828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Proglas</dc:creator>
  <cp:lastModifiedBy>Proglas</cp:lastModifiedBy>
  <cp:revision>1</cp:revision>
  <dcterms:created xsi:type="dcterms:W3CDTF">2026-05-21T10:17:00Z</dcterms:created>
  <dcterms:modified xsi:type="dcterms:W3CDTF">2026-05-21T10:26:00Z</dcterms:modified>
</cp:coreProperties>
</file>