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2F6C7" w14:textId="77777777" w:rsidR="00A0734B" w:rsidRDefault="00A44A60">
      <w:pPr>
        <w:pStyle w:val="Body"/>
        <w:rPr>
          <w:sz w:val="20"/>
          <w:szCs w:val="20"/>
        </w:rPr>
      </w:pPr>
      <w:r>
        <w:rPr>
          <w:sz w:val="20"/>
          <w:szCs w:val="20"/>
        </w:rPr>
        <w:t xml:space="preserve">Final Semester Report: Pan, </w:t>
      </w:r>
      <w:proofErr w:type="spellStart"/>
      <w:r>
        <w:rPr>
          <w:sz w:val="20"/>
          <w:szCs w:val="20"/>
        </w:rPr>
        <w:t>Tianrui</w:t>
      </w:r>
      <w:proofErr w:type="spellEnd"/>
    </w:p>
    <w:p w14:paraId="06C217EC" w14:textId="77777777" w:rsidR="00A0734B" w:rsidRDefault="00A44A60">
      <w:pPr>
        <w:pStyle w:val="Body"/>
        <w:rPr>
          <w:sz w:val="20"/>
          <w:szCs w:val="20"/>
        </w:rPr>
      </w:pPr>
      <w:r>
        <w:rPr>
          <w:sz w:val="20"/>
          <w:szCs w:val="20"/>
        </w:rPr>
        <w:t xml:space="preserve">Department: Art in </w:t>
      </w:r>
      <w:proofErr w:type="spellStart"/>
      <w:r>
        <w:rPr>
          <w:sz w:val="20"/>
          <w:szCs w:val="20"/>
        </w:rPr>
        <w:t>Context</w:t>
      </w:r>
      <w:proofErr w:type="spellEnd"/>
    </w:p>
    <w:p w14:paraId="5F1C743A" w14:textId="77777777" w:rsidR="00A0734B" w:rsidRDefault="00A44A60">
      <w:pPr>
        <w:pStyle w:val="Body"/>
        <w:rPr>
          <w:sz w:val="20"/>
          <w:szCs w:val="20"/>
        </w:rPr>
      </w:pPr>
      <w:r>
        <w:rPr>
          <w:sz w:val="20"/>
          <w:szCs w:val="20"/>
        </w:rPr>
        <w:t>Tutor: James Lewis</w:t>
      </w:r>
    </w:p>
    <w:p w14:paraId="61A3B773" w14:textId="77777777" w:rsidR="00A0734B" w:rsidRDefault="00A0734B">
      <w:pPr>
        <w:pStyle w:val="Body"/>
        <w:rPr>
          <w:sz w:val="20"/>
          <w:szCs w:val="20"/>
        </w:rPr>
      </w:pPr>
    </w:p>
    <w:p w14:paraId="60C1A392" w14:textId="77777777" w:rsidR="00A0734B" w:rsidRDefault="00A44A60">
      <w:pPr>
        <w:pStyle w:val="Body"/>
        <w:rPr>
          <w:sz w:val="20"/>
          <w:szCs w:val="20"/>
        </w:rPr>
      </w:pPr>
      <w:r>
        <w:rPr>
          <w:sz w:val="20"/>
          <w:szCs w:val="20"/>
          <w:lang w:val="en-US"/>
        </w:rPr>
        <w:t xml:space="preserve">Tianrui joined the Academy of Fine Arts in Prague following the completion of a </w:t>
      </w:r>
      <w:proofErr w:type="gramStart"/>
      <w:r>
        <w:rPr>
          <w:sz w:val="20"/>
          <w:szCs w:val="20"/>
          <w:lang w:val="en-US"/>
        </w:rPr>
        <w:t>Master</w:t>
      </w:r>
      <w:r>
        <w:rPr>
          <w:sz w:val="20"/>
          <w:szCs w:val="20"/>
          <w:rtl/>
        </w:rPr>
        <w:t>’</w:t>
      </w:r>
      <w:r>
        <w:rPr>
          <w:sz w:val="20"/>
          <w:szCs w:val="20"/>
          <w:lang w:val="en-US"/>
        </w:rPr>
        <w:t>s</w:t>
      </w:r>
      <w:proofErr w:type="gramEnd"/>
      <w:r>
        <w:rPr>
          <w:sz w:val="20"/>
          <w:szCs w:val="20"/>
          <w:lang w:val="en-US"/>
        </w:rPr>
        <w:t xml:space="preserve"> degree in Gender Studies at the University of Turku in Finland. Her background in critical theory and social science has deeply informed her approach </w:t>
      </w:r>
      <w:proofErr w:type="spellStart"/>
      <w:r>
        <w:rPr>
          <w:sz w:val="20"/>
          <w:szCs w:val="20"/>
        </w:rPr>
        <w:t>to</w:t>
      </w:r>
      <w:proofErr w:type="spellEnd"/>
      <w:r>
        <w:rPr>
          <w:sz w:val="20"/>
          <w:szCs w:val="20"/>
        </w:rPr>
        <w:t xml:space="preserve"> </w:t>
      </w:r>
      <w:proofErr w:type="spellStart"/>
      <w:r>
        <w:rPr>
          <w:sz w:val="20"/>
          <w:szCs w:val="20"/>
        </w:rPr>
        <w:t>artistic</w:t>
      </w:r>
      <w:proofErr w:type="spellEnd"/>
      <w:r>
        <w:rPr>
          <w:sz w:val="20"/>
          <w:szCs w:val="20"/>
        </w:rPr>
        <w:t xml:space="preserve"> </w:t>
      </w:r>
      <w:proofErr w:type="spellStart"/>
      <w:r>
        <w:rPr>
          <w:sz w:val="20"/>
          <w:szCs w:val="20"/>
        </w:rPr>
        <w:t>enquiry</w:t>
      </w:r>
      <w:proofErr w:type="spellEnd"/>
      <w:r>
        <w:rPr>
          <w:sz w:val="20"/>
          <w:szCs w:val="20"/>
        </w:rPr>
        <w:t xml:space="preserve"> </w:t>
      </w:r>
      <w:r>
        <w:rPr>
          <w:sz w:val="20"/>
          <w:szCs w:val="20"/>
          <w:lang w:val="en-US"/>
        </w:rPr>
        <w:t>throughout her studies. From the outset, Tianrui sought to develop an artistic practice that would meaningfully integrate social awareness, particularly through a feminist and postcolonial lens. Her engagement with themes such as diaspora, translation, displacement, and identity has shaped a thoughtful, rigorous body of work over the cour</w:t>
      </w:r>
      <w:r>
        <w:rPr>
          <w:sz w:val="20"/>
          <w:szCs w:val="20"/>
          <w:lang w:val="en-US"/>
        </w:rPr>
        <w:t>se of her three-year study at AVU.</w:t>
      </w:r>
    </w:p>
    <w:p w14:paraId="7FAD0E59" w14:textId="77777777" w:rsidR="00A0734B" w:rsidRDefault="00A0734B">
      <w:pPr>
        <w:pStyle w:val="Body"/>
        <w:rPr>
          <w:sz w:val="20"/>
          <w:szCs w:val="20"/>
        </w:rPr>
      </w:pPr>
    </w:p>
    <w:p w14:paraId="2D0C6545" w14:textId="77777777" w:rsidR="00A0734B" w:rsidRDefault="00A44A60">
      <w:pPr>
        <w:pStyle w:val="Body"/>
        <w:rPr>
          <w:sz w:val="20"/>
          <w:szCs w:val="20"/>
        </w:rPr>
      </w:pPr>
      <w:r>
        <w:rPr>
          <w:sz w:val="20"/>
          <w:szCs w:val="20"/>
          <w:lang w:val="en-US"/>
        </w:rPr>
        <w:t xml:space="preserve">During her time in the Art in Context (AIC) program, Tianrui consistently demonstrated a strong critical and intellectual engagement with the topics she addressed. Her work has gradually evolved from video experiments and performative installations into increasingly complex, multi-layered presentations. Early in her studies, Tianrui explored her identity as a person of Chinese heritage by examining the implications of language, </w:t>
      </w:r>
      <w:proofErr w:type="spellStart"/>
      <w:r>
        <w:rPr>
          <w:sz w:val="20"/>
          <w:szCs w:val="20"/>
        </w:rPr>
        <w:t>isolation</w:t>
      </w:r>
      <w:proofErr w:type="spellEnd"/>
      <w:r>
        <w:rPr>
          <w:sz w:val="20"/>
          <w:szCs w:val="20"/>
          <w:lang w:val="en-US"/>
        </w:rPr>
        <w:t xml:space="preserve">, and historical representation. Her use of moving image, performance, and AI-generated imagery allowed her to deconstruct </w:t>
      </w:r>
      <w:r>
        <w:rPr>
          <w:sz w:val="20"/>
          <w:szCs w:val="20"/>
        </w:rPr>
        <w:t xml:space="preserve">her </w:t>
      </w:r>
      <w:proofErr w:type="spellStart"/>
      <w:r>
        <w:rPr>
          <w:sz w:val="20"/>
          <w:szCs w:val="20"/>
        </w:rPr>
        <w:t>themes</w:t>
      </w:r>
      <w:proofErr w:type="spellEnd"/>
      <w:r>
        <w:rPr>
          <w:sz w:val="20"/>
          <w:szCs w:val="20"/>
          <w:lang w:val="en-US"/>
        </w:rPr>
        <w:t xml:space="preserve"> with sensitivity and poetic </w:t>
      </w:r>
      <w:r>
        <w:rPr>
          <w:sz w:val="20"/>
          <w:szCs w:val="20"/>
        </w:rPr>
        <w:t xml:space="preserve">and </w:t>
      </w:r>
      <w:proofErr w:type="spellStart"/>
      <w:r>
        <w:rPr>
          <w:sz w:val="20"/>
          <w:szCs w:val="20"/>
        </w:rPr>
        <w:t>intellectual</w:t>
      </w:r>
      <w:proofErr w:type="spellEnd"/>
      <w:r>
        <w:rPr>
          <w:sz w:val="20"/>
          <w:szCs w:val="20"/>
        </w:rPr>
        <w:t xml:space="preserve"> </w:t>
      </w:r>
      <w:r>
        <w:rPr>
          <w:sz w:val="20"/>
          <w:szCs w:val="20"/>
          <w:lang w:val="en-US"/>
        </w:rPr>
        <w:t>reflection.</w:t>
      </w:r>
    </w:p>
    <w:p w14:paraId="4F95C223" w14:textId="77777777" w:rsidR="00A0734B" w:rsidRDefault="00A0734B">
      <w:pPr>
        <w:pStyle w:val="Body"/>
        <w:rPr>
          <w:sz w:val="20"/>
          <w:szCs w:val="20"/>
        </w:rPr>
      </w:pPr>
    </w:p>
    <w:p w14:paraId="3F4589CA" w14:textId="77777777" w:rsidR="00A0734B" w:rsidRDefault="00A44A60">
      <w:pPr>
        <w:pStyle w:val="Body"/>
        <w:rPr>
          <w:sz w:val="20"/>
          <w:szCs w:val="20"/>
        </w:rPr>
      </w:pPr>
      <w:r>
        <w:rPr>
          <w:sz w:val="20"/>
          <w:szCs w:val="20"/>
          <w:lang w:val="en-US"/>
        </w:rPr>
        <w:t xml:space="preserve">Tianrui's academic journey was not without its challenges. Her concurrent studies in Finland during the second year occasionally affected her studio attendance and participation in group critiques. However, this period also bore witness to an impressive resilience and commitment to her practice. </w:t>
      </w:r>
      <w:proofErr w:type="spellStart"/>
      <w:r>
        <w:rPr>
          <w:sz w:val="20"/>
          <w:szCs w:val="20"/>
        </w:rPr>
        <w:t>During</w:t>
      </w:r>
      <w:proofErr w:type="spellEnd"/>
      <w:r>
        <w:rPr>
          <w:sz w:val="20"/>
          <w:szCs w:val="20"/>
        </w:rPr>
        <w:t xml:space="preserve"> </w:t>
      </w:r>
      <w:proofErr w:type="spellStart"/>
      <w:r>
        <w:rPr>
          <w:sz w:val="20"/>
          <w:szCs w:val="20"/>
        </w:rPr>
        <w:t>this</w:t>
      </w:r>
      <w:proofErr w:type="spellEnd"/>
      <w:r>
        <w:rPr>
          <w:sz w:val="20"/>
          <w:szCs w:val="20"/>
        </w:rPr>
        <w:t xml:space="preserve"> time </w:t>
      </w:r>
      <w:r>
        <w:rPr>
          <w:sz w:val="20"/>
          <w:szCs w:val="20"/>
          <w:lang w:val="en-US"/>
        </w:rPr>
        <w:t xml:space="preserve">Tianrui continued to produce work that was intellectually grounded and emotionally resonant. Her projects delved into childhood games as metaphors for </w:t>
      </w:r>
      <w:proofErr w:type="gramStart"/>
      <w:r>
        <w:rPr>
          <w:sz w:val="20"/>
          <w:szCs w:val="20"/>
          <w:lang w:val="en-US"/>
        </w:rPr>
        <w:t>gendered</w:t>
      </w:r>
      <w:proofErr w:type="gramEnd"/>
      <w:r>
        <w:rPr>
          <w:sz w:val="20"/>
          <w:szCs w:val="20"/>
          <w:lang w:val="en-US"/>
        </w:rPr>
        <w:t xml:space="preserve"> violence, and the proximity between play and harm. While some of these experiments felt unresolved, they also </w:t>
      </w:r>
      <w:proofErr w:type="gramStart"/>
      <w:r>
        <w:rPr>
          <w:sz w:val="20"/>
          <w:szCs w:val="20"/>
          <w:lang w:val="en-US"/>
        </w:rPr>
        <w:t>opened up</w:t>
      </w:r>
      <w:proofErr w:type="gramEnd"/>
      <w:r>
        <w:rPr>
          <w:sz w:val="20"/>
          <w:szCs w:val="20"/>
          <w:lang w:val="en-US"/>
        </w:rPr>
        <w:t xml:space="preserve"> new avenues for research and were testament to her willingness to grapple with difficult and nuanced topics.</w:t>
      </w:r>
    </w:p>
    <w:p w14:paraId="69C3D263" w14:textId="77777777" w:rsidR="00A0734B" w:rsidRDefault="00A0734B">
      <w:pPr>
        <w:pStyle w:val="Body"/>
        <w:rPr>
          <w:sz w:val="20"/>
          <w:szCs w:val="20"/>
        </w:rPr>
      </w:pPr>
    </w:p>
    <w:p w14:paraId="186B0F29" w14:textId="77777777" w:rsidR="00A0734B" w:rsidRDefault="00A44A60">
      <w:pPr>
        <w:pStyle w:val="Body"/>
        <w:rPr>
          <w:sz w:val="20"/>
          <w:szCs w:val="20"/>
        </w:rPr>
      </w:pPr>
      <w:r>
        <w:rPr>
          <w:sz w:val="20"/>
          <w:szCs w:val="20"/>
          <w:lang w:val="en-US"/>
        </w:rPr>
        <w:t>In her third year, Tianrui</w:t>
      </w:r>
      <w:r>
        <w:rPr>
          <w:sz w:val="20"/>
          <w:szCs w:val="20"/>
          <w:rtl/>
        </w:rPr>
        <w:t>’</w:t>
      </w:r>
      <w:r>
        <w:rPr>
          <w:sz w:val="20"/>
          <w:szCs w:val="20"/>
          <w:lang w:val="en-US"/>
        </w:rPr>
        <w:t>s engagement with workshop-based experimentation deepened. She explored metal and woodworking, printmaking, drawing</w:t>
      </w:r>
      <w:r>
        <w:rPr>
          <w:sz w:val="20"/>
          <w:szCs w:val="20"/>
        </w:rPr>
        <w:t xml:space="preserve"> and </w:t>
      </w:r>
      <w:r>
        <w:rPr>
          <w:sz w:val="20"/>
          <w:szCs w:val="20"/>
          <w:lang w:val="en-US"/>
        </w:rPr>
        <w:t xml:space="preserve">her investment in broadening her technical </w:t>
      </w:r>
      <w:proofErr w:type="spellStart"/>
      <w:r>
        <w:rPr>
          <w:sz w:val="20"/>
          <w:szCs w:val="20"/>
        </w:rPr>
        <w:t>capabilities</w:t>
      </w:r>
      <w:proofErr w:type="spellEnd"/>
      <w:r>
        <w:rPr>
          <w:sz w:val="20"/>
          <w:szCs w:val="20"/>
          <w:lang w:val="en-US"/>
        </w:rPr>
        <w:t xml:space="preserve"> and testing new media demonstrated a maturing and ambitious approach. Notably, Tianrui</w:t>
      </w:r>
      <w:r>
        <w:rPr>
          <w:sz w:val="20"/>
          <w:szCs w:val="20"/>
          <w:rtl/>
        </w:rPr>
        <w:t>’</w:t>
      </w:r>
      <w:r>
        <w:rPr>
          <w:sz w:val="20"/>
          <w:szCs w:val="20"/>
          <w:lang w:val="en-US"/>
        </w:rPr>
        <w:t>s capacity to reflect on feedback and integrate it into future work has been one of her strongest attributes. She remains a valuable contributor to studio discourse, offering insightful perspectives that often bridge theoretical concepts with mater</w:t>
      </w:r>
      <w:r>
        <w:rPr>
          <w:sz w:val="20"/>
          <w:szCs w:val="20"/>
          <w:lang w:val="en-US"/>
        </w:rPr>
        <w:t>ial concerns.</w:t>
      </w:r>
    </w:p>
    <w:p w14:paraId="5E3160A6" w14:textId="77777777" w:rsidR="00A0734B" w:rsidRDefault="00A0734B">
      <w:pPr>
        <w:pStyle w:val="Body"/>
        <w:rPr>
          <w:sz w:val="20"/>
          <w:szCs w:val="20"/>
        </w:rPr>
      </w:pPr>
    </w:p>
    <w:p w14:paraId="2755A875" w14:textId="77777777" w:rsidR="00A0734B" w:rsidRDefault="00A44A60">
      <w:pPr>
        <w:pStyle w:val="Body"/>
        <w:rPr>
          <w:sz w:val="20"/>
          <w:szCs w:val="20"/>
        </w:rPr>
      </w:pPr>
      <w:r>
        <w:rPr>
          <w:sz w:val="20"/>
          <w:szCs w:val="20"/>
          <w:lang w:val="nl-NL"/>
        </w:rPr>
        <w:t>Tianrui</w:t>
      </w:r>
      <w:r>
        <w:rPr>
          <w:sz w:val="20"/>
          <w:szCs w:val="20"/>
          <w:rtl/>
        </w:rPr>
        <w:t>’</w:t>
      </w:r>
      <w:r>
        <w:rPr>
          <w:sz w:val="20"/>
          <w:szCs w:val="20"/>
          <w:lang w:val="en-US"/>
        </w:rPr>
        <w:t xml:space="preserve">s diploma project represents a culmination of her critical thinking, research, and formal development over the past three years. For her final presentation, she chose to install her work within the AVU library, a site that resonates with her ongoing interest in archives, collective memory, and the politics of knowledge production. This choice of space </w:t>
      </w:r>
      <w:proofErr w:type="spellStart"/>
      <w:r>
        <w:rPr>
          <w:sz w:val="20"/>
          <w:szCs w:val="20"/>
        </w:rPr>
        <w:t>contextualises</w:t>
      </w:r>
      <w:proofErr w:type="spellEnd"/>
      <w:r>
        <w:rPr>
          <w:sz w:val="20"/>
          <w:szCs w:val="20"/>
          <w:lang w:val="en-US"/>
        </w:rPr>
        <w:t xml:space="preserve"> the installation within a repository of local and global histories while anchoring her autobiographical exploration within a broader socio-pol</w:t>
      </w:r>
      <w:r>
        <w:rPr>
          <w:sz w:val="20"/>
          <w:szCs w:val="20"/>
          <w:lang w:val="en-US"/>
        </w:rPr>
        <w:t>itical framework.</w:t>
      </w:r>
    </w:p>
    <w:p w14:paraId="1C2C566A" w14:textId="77777777" w:rsidR="00A0734B" w:rsidRDefault="00A0734B">
      <w:pPr>
        <w:pStyle w:val="Body"/>
        <w:rPr>
          <w:sz w:val="20"/>
          <w:szCs w:val="20"/>
        </w:rPr>
      </w:pPr>
    </w:p>
    <w:p w14:paraId="6BFBE60A" w14:textId="77777777" w:rsidR="00A0734B" w:rsidRDefault="00A44A60">
      <w:pPr>
        <w:pStyle w:val="Body"/>
        <w:rPr>
          <w:sz w:val="20"/>
          <w:szCs w:val="20"/>
        </w:rPr>
      </w:pPr>
      <w:r>
        <w:rPr>
          <w:sz w:val="20"/>
          <w:szCs w:val="20"/>
          <w:lang w:val="en-US"/>
        </w:rPr>
        <w:t xml:space="preserve">The installation </w:t>
      </w:r>
      <w:proofErr w:type="gramStart"/>
      <w:r>
        <w:rPr>
          <w:sz w:val="20"/>
          <w:szCs w:val="20"/>
          <w:lang w:val="en-US"/>
        </w:rPr>
        <w:t xml:space="preserve">comprises </w:t>
      </w:r>
      <w:proofErr w:type="spellStart"/>
      <w:r>
        <w:rPr>
          <w:sz w:val="20"/>
          <w:szCs w:val="20"/>
        </w:rPr>
        <w:t>of</w:t>
      </w:r>
      <w:proofErr w:type="spellEnd"/>
      <w:proofErr w:type="gramEnd"/>
      <w:r>
        <w:rPr>
          <w:sz w:val="20"/>
          <w:szCs w:val="20"/>
        </w:rPr>
        <w:t xml:space="preserve"> </w:t>
      </w:r>
      <w:r>
        <w:rPr>
          <w:sz w:val="20"/>
          <w:szCs w:val="20"/>
          <w:lang w:val="en-US"/>
        </w:rPr>
        <w:t>several interwoven elements: a sound piece embedded within</w:t>
      </w:r>
      <w:r>
        <w:rPr>
          <w:sz w:val="20"/>
          <w:szCs w:val="20"/>
        </w:rPr>
        <w:t xml:space="preserve"> </w:t>
      </w:r>
      <w:r>
        <w:rPr>
          <w:sz w:val="20"/>
          <w:szCs w:val="20"/>
          <w:lang w:val="it-IT"/>
        </w:rPr>
        <w:t>industrial</w:t>
      </w:r>
      <w:r>
        <w:rPr>
          <w:sz w:val="20"/>
          <w:szCs w:val="20"/>
        </w:rPr>
        <w:t xml:space="preserve"> </w:t>
      </w:r>
      <w:r>
        <w:rPr>
          <w:sz w:val="20"/>
          <w:szCs w:val="20"/>
          <w:lang w:val="fr-FR"/>
        </w:rPr>
        <w:t xml:space="preserve">air ventilation </w:t>
      </w:r>
      <w:proofErr w:type="spellStart"/>
      <w:r>
        <w:rPr>
          <w:sz w:val="20"/>
          <w:szCs w:val="20"/>
        </w:rPr>
        <w:t>pipes</w:t>
      </w:r>
      <w:proofErr w:type="spellEnd"/>
      <w:r>
        <w:rPr>
          <w:sz w:val="20"/>
          <w:szCs w:val="20"/>
          <w:lang w:val="en-US"/>
        </w:rPr>
        <w:t xml:space="preserve">; a projected script that translates the </w:t>
      </w:r>
      <w:proofErr w:type="spellStart"/>
      <w:r>
        <w:rPr>
          <w:sz w:val="20"/>
          <w:szCs w:val="20"/>
        </w:rPr>
        <w:t>narration</w:t>
      </w:r>
      <w:proofErr w:type="spellEnd"/>
      <w:r>
        <w:rPr>
          <w:sz w:val="20"/>
          <w:szCs w:val="20"/>
          <w:lang w:val="en-US"/>
        </w:rPr>
        <w:t xml:space="preserve"> from her film; and a vertically mounted </w:t>
      </w:r>
      <w:proofErr w:type="gramStart"/>
      <w:r>
        <w:rPr>
          <w:sz w:val="20"/>
          <w:szCs w:val="20"/>
          <w:lang w:val="en-US"/>
        </w:rPr>
        <w:t>video work</w:t>
      </w:r>
      <w:proofErr w:type="gramEnd"/>
      <w:r>
        <w:rPr>
          <w:sz w:val="20"/>
          <w:szCs w:val="20"/>
          <w:lang w:val="en-US"/>
        </w:rPr>
        <w:t xml:space="preserve"> placed in the library</w:t>
      </w:r>
      <w:r>
        <w:rPr>
          <w:sz w:val="20"/>
          <w:szCs w:val="20"/>
          <w:rtl/>
        </w:rPr>
        <w:t>’</w:t>
      </w:r>
      <w:r>
        <w:rPr>
          <w:sz w:val="20"/>
          <w:szCs w:val="20"/>
          <w:lang w:val="en-US"/>
        </w:rPr>
        <w:t>s entrance. This combination of sculptural, textual, and moving-image elements subtly evokes themes of dispersion, translation, and spatial dislocation</w:t>
      </w:r>
      <w:r>
        <w:rPr>
          <w:sz w:val="20"/>
          <w:szCs w:val="20"/>
        </w:rPr>
        <w:t xml:space="preserve"> and t</w:t>
      </w:r>
      <w:r>
        <w:rPr>
          <w:sz w:val="20"/>
          <w:szCs w:val="20"/>
          <w:lang w:val="en-US"/>
        </w:rPr>
        <w:t>he sound piece</w:t>
      </w:r>
      <w:r>
        <w:rPr>
          <w:sz w:val="20"/>
          <w:szCs w:val="20"/>
        </w:rPr>
        <w:t>s</w:t>
      </w:r>
      <w:r>
        <w:rPr>
          <w:sz w:val="20"/>
          <w:szCs w:val="20"/>
          <w:lang w:val="en-US"/>
        </w:rPr>
        <w:t xml:space="preserve"> draw attention to the infrastructure of communication and containment.</w:t>
      </w:r>
    </w:p>
    <w:p w14:paraId="39B4FD0D" w14:textId="77777777" w:rsidR="00A0734B" w:rsidRDefault="00A0734B">
      <w:pPr>
        <w:pStyle w:val="Body"/>
        <w:rPr>
          <w:sz w:val="20"/>
          <w:szCs w:val="20"/>
        </w:rPr>
      </w:pPr>
    </w:p>
    <w:p w14:paraId="6F5CB975" w14:textId="77777777" w:rsidR="00A0734B" w:rsidRDefault="00A44A60">
      <w:pPr>
        <w:pStyle w:val="Body"/>
        <w:rPr>
          <w:sz w:val="20"/>
          <w:szCs w:val="20"/>
        </w:rPr>
      </w:pPr>
      <w:r>
        <w:rPr>
          <w:sz w:val="20"/>
          <w:szCs w:val="20"/>
          <w:lang w:val="en-US"/>
        </w:rPr>
        <w:t xml:space="preserve">The film is composed of both primary footage and archival material gathered during a research trip to China. Tianrui visited locations with personal and ancestral significance, compiling a fragmentary but evocative portrait of her diasporic heritage. The film avoids traditional narrative in </w:t>
      </w:r>
      <w:proofErr w:type="spellStart"/>
      <w:r>
        <w:rPr>
          <w:sz w:val="20"/>
          <w:szCs w:val="20"/>
          <w:lang w:val="en-US"/>
        </w:rPr>
        <w:t>favour</w:t>
      </w:r>
      <w:proofErr w:type="spellEnd"/>
      <w:r>
        <w:rPr>
          <w:sz w:val="20"/>
          <w:szCs w:val="20"/>
          <w:lang w:val="en-US"/>
        </w:rPr>
        <w:t xml:space="preserve"> of a more poetic, almost scrapbook-like structure. By layering intimate video diary fragments with broader visual tropes, Tianrui mirrors the circulation of images in contemporary digital culture and </w:t>
      </w:r>
      <w:proofErr w:type="spellStart"/>
      <w:r>
        <w:rPr>
          <w:sz w:val="20"/>
          <w:szCs w:val="20"/>
          <w:lang w:val="en-US"/>
        </w:rPr>
        <w:t>destabili</w:t>
      </w:r>
      <w:proofErr w:type="spellEnd"/>
      <w:r>
        <w:rPr>
          <w:sz w:val="20"/>
          <w:szCs w:val="20"/>
        </w:rPr>
        <w:t>s</w:t>
      </w:r>
      <w:r>
        <w:rPr>
          <w:sz w:val="20"/>
          <w:szCs w:val="20"/>
          <w:lang w:val="en-US"/>
        </w:rPr>
        <w:t xml:space="preserve">es clear-cut binaries of home/foreign, memory/history, and past/present. This strategy of weaving the </w:t>
      </w:r>
      <w:proofErr w:type="gramStart"/>
      <w:r>
        <w:rPr>
          <w:sz w:val="20"/>
          <w:szCs w:val="20"/>
          <w:lang w:val="en-US"/>
        </w:rPr>
        <w:t>personal</w:t>
      </w:r>
      <w:proofErr w:type="gramEnd"/>
      <w:r>
        <w:rPr>
          <w:sz w:val="20"/>
          <w:szCs w:val="20"/>
          <w:lang w:val="en-US"/>
        </w:rPr>
        <w:t xml:space="preserve"> into the political makes the work especially resonant</w:t>
      </w:r>
      <w:r>
        <w:rPr>
          <w:sz w:val="20"/>
          <w:szCs w:val="20"/>
        </w:rPr>
        <w:t xml:space="preserve"> and v</w:t>
      </w:r>
      <w:proofErr w:type="spellStart"/>
      <w:r>
        <w:rPr>
          <w:sz w:val="20"/>
          <w:szCs w:val="20"/>
          <w:lang w:val="en-US"/>
        </w:rPr>
        <w:t>iewers</w:t>
      </w:r>
      <w:proofErr w:type="spellEnd"/>
      <w:r>
        <w:rPr>
          <w:sz w:val="20"/>
          <w:szCs w:val="20"/>
          <w:lang w:val="en-US"/>
        </w:rPr>
        <w:t xml:space="preserve"> are invited to witness a story that resists linearity and embraces multiplicity.</w:t>
      </w:r>
    </w:p>
    <w:p w14:paraId="5343A042" w14:textId="77777777" w:rsidR="00A0734B" w:rsidRDefault="00A0734B">
      <w:pPr>
        <w:pStyle w:val="Body"/>
        <w:rPr>
          <w:sz w:val="20"/>
          <w:szCs w:val="20"/>
        </w:rPr>
      </w:pPr>
    </w:p>
    <w:p w14:paraId="6467ED66" w14:textId="77777777" w:rsidR="00A0734B" w:rsidRDefault="00A44A60">
      <w:pPr>
        <w:pStyle w:val="Body"/>
        <w:rPr>
          <w:sz w:val="20"/>
          <w:szCs w:val="20"/>
        </w:rPr>
      </w:pPr>
      <w:r>
        <w:rPr>
          <w:sz w:val="20"/>
          <w:szCs w:val="20"/>
          <w:lang w:val="en-US"/>
        </w:rPr>
        <w:t xml:space="preserve">The visual coherence and conceptual clarity of this final exhibition stand as a testament to her growth as an artist. While the work remains open-ended, it carries the weight of rigorous research, lived experience, and </w:t>
      </w:r>
      <w:proofErr w:type="gramStart"/>
      <w:r>
        <w:rPr>
          <w:sz w:val="20"/>
          <w:szCs w:val="20"/>
          <w:lang w:val="en-US"/>
        </w:rPr>
        <w:t>a unique</w:t>
      </w:r>
      <w:proofErr w:type="gramEnd"/>
      <w:r>
        <w:rPr>
          <w:sz w:val="20"/>
          <w:szCs w:val="20"/>
          <w:lang w:val="en-US"/>
        </w:rPr>
        <w:t xml:space="preserve"> visual language.</w:t>
      </w:r>
    </w:p>
    <w:p w14:paraId="020B51B4" w14:textId="77777777" w:rsidR="00A0734B" w:rsidRDefault="00A0734B">
      <w:pPr>
        <w:pStyle w:val="Body"/>
        <w:rPr>
          <w:sz w:val="20"/>
          <w:szCs w:val="20"/>
        </w:rPr>
      </w:pPr>
    </w:p>
    <w:p w14:paraId="074A0C3C" w14:textId="77777777" w:rsidR="00A0734B" w:rsidRDefault="00A44A60">
      <w:pPr>
        <w:pStyle w:val="Body"/>
      </w:pPr>
      <w:r>
        <w:rPr>
          <w:sz w:val="20"/>
          <w:szCs w:val="20"/>
          <w:lang w:val="nl-NL"/>
        </w:rPr>
        <w:t>Tianrui</w:t>
      </w:r>
      <w:r>
        <w:rPr>
          <w:sz w:val="20"/>
          <w:szCs w:val="20"/>
          <w:rtl/>
        </w:rPr>
        <w:t>’</w:t>
      </w:r>
      <w:r>
        <w:rPr>
          <w:sz w:val="20"/>
          <w:szCs w:val="20"/>
          <w:lang w:val="en-US"/>
        </w:rPr>
        <w:t>s development during her time at AVU has been significant and inspiring. She has consistently demonstrated a capacity for critical thought, experimentation, and self-reflection. Her final project</w:t>
      </w:r>
      <w:r>
        <w:rPr>
          <w:sz w:val="20"/>
          <w:szCs w:val="20"/>
        </w:rPr>
        <w:t xml:space="preserve"> </w:t>
      </w:r>
      <w:r>
        <w:rPr>
          <w:sz w:val="20"/>
          <w:szCs w:val="20"/>
          <w:lang w:val="en-US"/>
        </w:rPr>
        <w:t xml:space="preserve">encapsulates the potential of socially engaged </w:t>
      </w:r>
      <w:proofErr w:type="spellStart"/>
      <w:r>
        <w:rPr>
          <w:sz w:val="20"/>
          <w:szCs w:val="20"/>
        </w:rPr>
        <w:t>artistic</w:t>
      </w:r>
      <w:proofErr w:type="spellEnd"/>
      <w:r>
        <w:rPr>
          <w:sz w:val="20"/>
          <w:szCs w:val="20"/>
        </w:rPr>
        <w:t xml:space="preserve"> </w:t>
      </w:r>
      <w:proofErr w:type="spellStart"/>
      <w:r>
        <w:rPr>
          <w:sz w:val="20"/>
          <w:szCs w:val="20"/>
        </w:rPr>
        <w:t>practices</w:t>
      </w:r>
      <w:proofErr w:type="spellEnd"/>
      <w:r>
        <w:rPr>
          <w:sz w:val="20"/>
          <w:szCs w:val="20"/>
          <w:lang w:val="en-US"/>
        </w:rPr>
        <w:t xml:space="preserve"> to speak across cultural and historical divides. I wholeheartedly recommend her diploma work for defense and the awarding of the Master of Fine Arts (</w:t>
      </w:r>
      <w:proofErr w:type="spellStart"/>
      <w:r>
        <w:rPr>
          <w:sz w:val="20"/>
          <w:szCs w:val="20"/>
          <w:lang w:val="en-US"/>
        </w:rPr>
        <w:t>MgA</w:t>
      </w:r>
      <w:proofErr w:type="spellEnd"/>
      <w:r>
        <w:rPr>
          <w:sz w:val="20"/>
          <w:szCs w:val="20"/>
          <w:lang w:val="en-US"/>
        </w:rPr>
        <w:t xml:space="preserve">.) degree. I </w:t>
      </w:r>
      <w:proofErr w:type="gramStart"/>
      <w:r>
        <w:rPr>
          <w:sz w:val="20"/>
          <w:szCs w:val="20"/>
          <w:lang w:val="en-US"/>
        </w:rPr>
        <w:t>grade</w:t>
      </w:r>
      <w:proofErr w:type="gramEnd"/>
      <w:r>
        <w:rPr>
          <w:sz w:val="20"/>
          <w:szCs w:val="20"/>
          <w:lang w:val="en-US"/>
        </w:rPr>
        <w:t xml:space="preserve"> her thesis with an </w:t>
      </w:r>
      <w:r>
        <w:rPr>
          <w:b/>
          <w:bCs/>
          <w:sz w:val="20"/>
          <w:szCs w:val="20"/>
        </w:rPr>
        <w:t>A</w:t>
      </w:r>
      <w:r>
        <w:rPr>
          <w:sz w:val="20"/>
          <w:szCs w:val="20"/>
        </w:rPr>
        <w:t>.</w:t>
      </w:r>
    </w:p>
    <w:sectPr w:rsidR="00A0734B">
      <w:headerReference w:type="default" r:id="rId6"/>
      <w:footerReference w:type="default" r:id="rId7"/>
      <w:pgSz w:w="11906" w:h="16838"/>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2AC51" w14:textId="77777777" w:rsidR="00A44A60" w:rsidRDefault="00A44A60">
      <w:r>
        <w:separator/>
      </w:r>
    </w:p>
  </w:endnote>
  <w:endnote w:type="continuationSeparator" w:id="0">
    <w:p w14:paraId="5F93470A" w14:textId="77777777" w:rsidR="00A44A60" w:rsidRDefault="00A44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62A97" w14:textId="77777777" w:rsidR="00A0734B" w:rsidRDefault="00A073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E9113" w14:textId="77777777" w:rsidR="00A44A60" w:rsidRDefault="00A44A60">
      <w:r>
        <w:separator/>
      </w:r>
    </w:p>
  </w:footnote>
  <w:footnote w:type="continuationSeparator" w:id="0">
    <w:p w14:paraId="5949BD07" w14:textId="77777777" w:rsidR="00A44A60" w:rsidRDefault="00A44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4BD06" w14:textId="77777777" w:rsidR="00A0734B" w:rsidRDefault="00A0734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revisionView w:formatting="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34B"/>
    <w:rsid w:val="00A0734B"/>
    <w:rsid w:val="00A44A60"/>
    <w:rsid w:val="00C3488E"/>
    <w:rsid w:val="00D71E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6E607"/>
  <w15:docId w15:val="{06CC97E7-C705-43F6-AFB6-207EF99D2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Body">
    <w:name w:val="Body"/>
    <w:rPr>
      <w:rFonts w:ascii="Helvetica Neue" w:hAnsi="Helvetica Neue" w:cs="Arial Unicode MS"/>
      <w:color w:val="000000"/>
      <w:sz w:val="22"/>
      <w:szCs w:val="22"/>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741</Words>
  <Characters>4373</Characters>
  <Application>Microsoft Office Word</Application>
  <DocSecurity>0</DocSecurity>
  <Lines>36</Lines>
  <Paragraphs>10</Paragraphs>
  <ScaleCrop>false</ScaleCrop>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Ptáčkova Petra</dc:creator>
  <cp:lastModifiedBy>Ptáčkova Petra</cp:lastModifiedBy>
  <cp:revision>2</cp:revision>
  <dcterms:created xsi:type="dcterms:W3CDTF">2025-06-05T07:26:00Z</dcterms:created>
  <dcterms:modified xsi:type="dcterms:W3CDTF">2025-06-05T07:26:00Z</dcterms:modified>
</cp:coreProperties>
</file>