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color w:val="333333"/>
        </w:rPr>
      </w:pPr>
      <w:r w:rsidDel="00000000" w:rsidR="00000000" w:rsidRPr="00000000">
        <w:rPr>
          <w:rFonts w:ascii="Open Sans" w:cs="Open Sans" w:eastAsia="Open Sans" w:hAnsi="Open Sans"/>
          <w:b w:val="1"/>
          <w:i w:val="0"/>
          <w:smallCaps w:val="0"/>
          <w:color w:val="ffffff"/>
          <w:sz w:val="18"/>
          <w:szCs w:val="18"/>
          <w:rtl w:val="0"/>
        </w:rPr>
        <w:t xml:space="preserve">Spolek sochařů ČRSpolku sochařů ČR</w:t>
      </w:r>
      <w:r w:rsidDel="00000000" w:rsidR="00000000" w:rsidRPr="00000000">
        <w:rPr>
          <w:b w:val="1"/>
          <w:color w:val="ff0000"/>
          <w:sz w:val="24"/>
          <w:szCs w:val="24"/>
          <w:rtl w:val="0"/>
        </w:rPr>
        <w:br w:type="textWrapping"/>
      </w:r>
      <w:r w:rsidDel="00000000" w:rsidR="00000000" w:rsidRPr="00000000">
        <w:rPr>
          <w:b w:val="1"/>
          <w:color w:val="333333"/>
          <w:rtl w:val="0"/>
        </w:rPr>
        <w:t xml:space="preserve"> Oponentský posudek k diplomové práci Jana Trubače</w:t>
      </w:r>
    </w:p>
    <w:p w:rsidR="00000000" w:rsidDel="00000000" w:rsidP="00000000" w:rsidRDefault="00000000" w:rsidRPr="00000000" w14:paraId="00000002">
      <w:pPr>
        <w:jc w:val="center"/>
        <w:rPr>
          <w:color w:val="333333"/>
        </w:rPr>
      </w:pPr>
      <w:r w:rsidDel="00000000" w:rsidR="00000000" w:rsidRPr="00000000">
        <w:rPr>
          <w:color w:val="333333"/>
          <w:rtl w:val="0"/>
        </w:rPr>
        <w:t xml:space="preserve">Atelier figurálního sochařství</w:t>
      </w:r>
    </w:p>
    <w:p w:rsidR="00000000" w:rsidDel="00000000" w:rsidP="00000000" w:rsidRDefault="00000000" w:rsidRPr="00000000" w14:paraId="00000003">
      <w:pPr>
        <w:rPr>
          <w:rFonts w:ascii="EB Garamond" w:cs="EB Garamond" w:eastAsia="EB Garamond" w:hAnsi="EB Garamond"/>
          <w:color w:val="333333"/>
        </w:rPr>
      </w:pPr>
      <w:r w:rsidDel="00000000" w:rsidR="00000000" w:rsidRPr="00000000">
        <w:rPr>
          <w:rtl w:val="0"/>
        </w:rPr>
      </w:r>
    </w:p>
    <w:p w:rsidR="00000000" w:rsidDel="00000000" w:rsidP="00000000" w:rsidRDefault="00000000" w:rsidRPr="00000000" w14:paraId="00000004">
      <w:pPr>
        <w:rPr>
          <w:rFonts w:ascii="EB Garamond" w:cs="EB Garamond" w:eastAsia="EB Garamond" w:hAnsi="EB Garamond"/>
          <w:color w:val="333333"/>
          <w:sz w:val="24"/>
          <w:szCs w:val="24"/>
        </w:rPr>
      </w:pPr>
      <w:r w:rsidDel="00000000" w:rsidR="00000000" w:rsidRPr="00000000">
        <w:rPr>
          <w:rFonts w:ascii="EB Garamond" w:cs="EB Garamond" w:eastAsia="EB Garamond" w:hAnsi="EB Garamond"/>
          <w:color w:val="333333"/>
          <w:sz w:val="24"/>
          <w:szCs w:val="24"/>
          <w:rtl w:val="0"/>
        </w:rPr>
        <w:t xml:space="preserve">Jan Trubač si vybral jako tema diplomové práce mentální prožitek z narození jejich dcery, který zobrazuje ve dvou polohách. Nepojímá ho jako popisnou figurální kompozicí, ale spíše abstrahovanou formou, stále zpřítomňující figurální podstatu. </w:t>
      </w:r>
    </w:p>
    <w:p w:rsidR="00000000" w:rsidDel="00000000" w:rsidP="00000000" w:rsidRDefault="00000000" w:rsidRPr="00000000" w14:paraId="00000005">
      <w:pPr>
        <w:rPr>
          <w:rFonts w:ascii="EB Garamond" w:cs="EB Garamond" w:eastAsia="EB Garamond" w:hAnsi="EB Garamond"/>
          <w:color w:val="333333"/>
          <w:sz w:val="24"/>
          <w:szCs w:val="24"/>
        </w:rPr>
      </w:pPr>
      <w:r w:rsidDel="00000000" w:rsidR="00000000" w:rsidRPr="00000000">
        <w:rPr>
          <w:rFonts w:ascii="EB Garamond" w:cs="EB Garamond" w:eastAsia="EB Garamond" w:hAnsi="EB Garamond"/>
          <w:color w:val="333333"/>
          <w:sz w:val="24"/>
          <w:szCs w:val="24"/>
          <w:rtl w:val="0"/>
        </w:rPr>
        <w:t xml:space="preserve">Autor postupoval přirozenou cestou od kresebných skic přes modely v hlíně  a vosku. Je patrná snaha hledání - nepřistupoval k úkolu formálně, vložil do práce svůj prožitek s veškerou vervou mládí, možná málo zkušeného, váhavého ovšem s opravdovou a ryzí naléhavostí a chutí dobrat se výsledku. To lze a je nutno ocenit.</w:t>
      </w:r>
    </w:p>
    <w:p w:rsidR="00000000" w:rsidDel="00000000" w:rsidP="00000000" w:rsidRDefault="00000000" w:rsidRPr="00000000" w14:paraId="00000006">
      <w:pPr>
        <w:rPr>
          <w:rFonts w:ascii="EB Garamond" w:cs="EB Garamond" w:eastAsia="EB Garamond" w:hAnsi="EB Garamond"/>
          <w:color w:val="333333"/>
          <w:sz w:val="24"/>
          <w:szCs w:val="24"/>
        </w:rPr>
      </w:pPr>
      <w:r w:rsidDel="00000000" w:rsidR="00000000" w:rsidRPr="00000000">
        <w:rPr>
          <w:rFonts w:ascii="EB Garamond" w:cs="EB Garamond" w:eastAsia="EB Garamond" w:hAnsi="EB Garamond"/>
          <w:color w:val="333333"/>
          <w:sz w:val="24"/>
          <w:szCs w:val="24"/>
          <w:rtl w:val="0"/>
        </w:rPr>
        <w:t xml:space="preserve">První kompozicí “Plout spolu” se dotýká sdílení společného osudu se svojí partnerkou, do které se snažil zakomponovat pocit o společné cestě (loď se stojícími postavami na ní), která vyústí v narození dítěte: loď může být vnímána jako kolébka. Forma této kompozice je střídmá, až přísně minimalistická, eliminující jakoukoliv popisnost a dává divákům prostor k volné interpretaci - pracuje s náznakem. Jeho rukodělná zručnost mu umožňuje pohybovat se volně v určování formy. Materiál: lépené dřevo různých měkčích i tvrdých druhů. Zde se mně mimoděk vnucuje otázka mimo hodnocení, jak se bude tento kompozit chovat v různě se měnících teplotách vlhkosti.</w:t>
      </w:r>
    </w:p>
    <w:p w:rsidR="00000000" w:rsidDel="00000000" w:rsidP="00000000" w:rsidRDefault="00000000" w:rsidRPr="00000000" w14:paraId="00000007">
      <w:pPr>
        <w:rPr>
          <w:rFonts w:ascii="EB Garamond" w:cs="EB Garamond" w:eastAsia="EB Garamond" w:hAnsi="EB Garamond"/>
          <w:color w:val="333333"/>
          <w:sz w:val="24"/>
          <w:szCs w:val="24"/>
        </w:rPr>
      </w:pPr>
      <w:r w:rsidDel="00000000" w:rsidR="00000000" w:rsidRPr="00000000">
        <w:rPr>
          <w:rFonts w:ascii="EB Garamond" w:cs="EB Garamond" w:eastAsia="EB Garamond" w:hAnsi="EB Garamond"/>
          <w:color w:val="333333"/>
          <w:sz w:val="24"/>
          <w:szCs w:val="24"/>
          <w:rtl w:val="0"/>
        </w:rPr>
        <w:t xml:space="preserve">Druhá socha z carrarského mramoru sleduje také linii přísně minimalizované formy. Mramorová stéla bude osazena na tmavý diorit, v době psaní tohoto textu mně ještě není znám výsledek osazení, ale popisovaný poměr výšek podstavy a sochy by mohl dobře konvenovat numerologům, čísla v sobě nesou takřka mýtickou hodnotu. To říkám jako odlehčení nad neznámou pravou hodnotou takových číselných řad  nebo posloupností… a nevím,, zda takový poměr byl autorovým záměrem….Každopádně kontrast barev těchto dvou kamenů je příjemný a může soše přidat na působivosti.</w:t>
      </w:r>
    </w:p>
    <w:p w:rsidR="00000000" w:rsidDel="00000000" w:rsidP="00000000" w:rsidRDefault="00000000" w:rsidRPr="00000000" w14:paraId="00000008">
      <w:pPr>
        <w:rPr>
          <w:rFonts w:ascii="EB Garamond" w:cs="EB Garamond" w:eastAsia="EB Garamond" w:hAnsi="EB Garamond"/>
          <w:color w:val="333333"/>
          <w:sz w:val="24"/>
          <w:szCs w:val="24"/>
        </w:rPr>
      </w:pPr>
      <w:r w:rsidDel="00000000" w:rsidR="00000000" w:rsidRPr="00000000">
        <w:rPr>
          <w:rFonts w:ascii="EB Garamond" w:cs="EB Garamond" w:eastAsia="EB Garamond" w:hAnsi="EB Garamond"/>
          <w:color w:val="333333"/>
          <w:sz w:val="24"/>
          <w:szCs w:val="24"/>
          <w:rtl w:val="0"/>
        </w:rPr>
        <w:t xml:space="preserve">Třetí socha “list” neboli “Tady je” podle slov autora byla hledaná intuitivně bez předem daného záměru. Je komponovaná ze tří materiálů, to vidím, jako ne úplně  šťastnou kombinaci. Domnívám se, že bez dřevěné podstavy mohlo být dosaženo průzračnějšího výsledku. Ovšem moje výhrada není namířena proti tomu, jak se autor zmocnil tematu, vydal se pomocí intuice dohledávat obsah a myslím, že dosti úspěšně.</w:t>
      </w:r>
    </w:p>
    <w:p w:rsidR="00000000" w:rsidDel="00000000" w:rsidP="00000000" w:rsidRDefault="00000000" w:rsidRPr="00000000" w14:paraId="00000009">
      <w:pPr>
        <w:rPr>
          <w:rFonts w:ascii="EB Garamond" w:cs="EB Garamond" w:eastAsia="EB Garamond" w:hAnsi="EB Garamond"/>
          <w:color w:val="333333"/>
          <w:sz w:val="24"/>
          <w:szCs w:val="24"/>
        </w:rPr>
      </w:pPr>
      <w:r w:rsidDel="00000000" w:rsidR="00000000" w:rsidRPr="00000000">
        <w:rPr>
          <w:rFonts w:ascii="EB Garamond" w:cs="EB Garamond" w:eastAsia="EB Garamond" w:hAnsi="EB Garamond"/>
          <w:color w:val="333333"/>
          <w:sz w:val="24"/>
          <w:szCs w:val="24"/>
          <w:rtl w:val="0"/>
        </w:rPr>
        <w:t xml:space="preserve">V diplomové práci lze sledovat inspiraci sochami Hany Wichterlové, rostliné motivy jsou personifikovány </w:t>
      </w:r>
    </w:p>
    <w:p w:rsidR="00000000" w:rsidDel="00000000" w:rsidP="00000000" w:rsidRDefault="00000000" w:rsidRPr="00000000" w14:paraId="0000000A">
      <w:pPr>
        <w:rPr>
          <w:rFonts w:ascii="EB Garamond" w:cs="EB Garamond" w:eastAsia="EB Garamond" w:hAnsi="EB Garamond"/>
          <w:color w:val="333333"/>
          <w:sz w:val="24"/>
          <w:szCs w:val="24"/>
        </w:rPr>
      </w:pPr>
      <w:r w:rsidDel="00000000" w:rsidR="00000000" w:rsidRPr="00000000">
        <w:rPr>
          <w:rFonts w:ascii="EB Garamond" w:cs="EB Garamond" w:eastAsia="EB Garamond" w:hAnsi="EB Garamond"/>
          <w:color w:val="333333"/>
          <w:sz w:val="24"/>
          <w:szCs w:val="24"/>
          <w:rtl w:val="0"/>
        </w:rPr>
        <w:t xml:space="preserve">   Celkově hodnotím jeho práci na výbornou, s tím, že oceňuji jeho obsahové hledání i provedení.</w:t>
      </w:r>
    </w:p>
    <w:p w:rsidR="00000000" w:rsidDel="00000000" w:rsidP="00000000" w:rsidRDefault="00000000" w:rsidRPr="00000000" w14:paraId="0000000B">
      <w:pPr>
        <w:rPr>
          <w:rFonts w:ascii="EB Garamond" w:cs="EB Garamond" w:eastAsia="EB Garamond" w:hAnsi="EB Garamond"/>
          <w:color w:val="333333"/>
          <w:sz w:val="24"/>
          <w:szCs w:val="24"/>
        </w:rPr>
      </w:pPr>
      <w:r w:rsidDel="00000000" w:rsidR="00000000" w:rsidRPr="00000000">
        <w:rPr>
          <w:rFonts w:ascii="EB Garamond" w:cs="EB Garamond" w:eastAsia="EB Garamond" w:hAnsi="EB Garamond"/>
          <w:color w:val="333333"/>
          <w:sz w:val="24"/>
          <w:szCs w:val="24"/>
          <w:rtl w:val="0"/>
        </w:rPr>
        <w:t xml:space="preserve">Navrhuji udělení titulu MgA.</w:t>
      </w:r>
    </w:p>
    <w:p w:rsidR="00000000" w:rsidDel="00000000" w:rsidP="00000000" w:rsidRDefault="00000000" w:rsidRPr="00000000" w14:paraId="0000000C">
      <w:pPr>
        <w:rPr>
          <w:rFonts w:ascii="EB Garamond" w:cs="EB Garamond" w:eastAsia="EB Garamond" w:hAnsi="EB Garamond"/>
        </w:rPr>
      </w:pPr>
      <w:r w:rsidDel="00000000" w:rsidR="00000000" w:rsidRPr="00000000">
        <w:rPr>
          <w:rFonts w:ascii="EB Garamond" w:cs="EB Garamond" w:eastAsia="EB Garamond" w:hAnsi="EB Garamond"/>
          <w:color w:val="333333"/>
          <w:sz w:val="24"/>
          <w:szCs w:val="24"/>
          <w:rtl w:val="0"/>
        </w:rPr>
        <w:t xml:space="preserve">  </w:t>
        <w:tab/>
        <w:tab/>
        <w:tab/>
        <w:tab/>
        <w:tab/>
        <w:tab/>
        <w:tab/>
        <w:tab/>
        <w:t xml:space="preserve">  Jiří Plieštik          25.5.2022</w:t>
      </w:r>
      <w:r w:rsidDel="00000000" w:rsidR="00000000" w:rsidRPr="00000000">
        <w:rPr>
          <w:rtl w:val="0"/>
        </w:rPr>
      </w:r>
    </w:p>
    <w:sectPr>
      <w:headerReference r:id="rId7" w:type="default"/>
      <w:pgSz w:h="16838" w:w="11906" w:orient="portrait"/>
      <w:pgMar w:bottom="1417" w:top="1417" w:left="1417" w:right="1417"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EB 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cs-CZ"/>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240" w:lineRule="auto"/>
    </w:pPr>
    <w:rPr>
      <w:rFonts w:ascii="Times New Roman" w:cs="Times New Roman" w:eastAsia="Times New Roman" w:hAnsi="Times New Roman"/>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B3125F"/>
    <w:pPr>
      <w:widowControl w:val="1"/>
      <w:bidi w:val="0"/>
      <w:spacing w:after="200" w:before="0" w:line="276" w:lineRule="auto"/>
      <w:jc w:val="left"/>
    </w:pPr>
    <w:rPr>
      <w:rFonts w:ascii="Calibri" w:cs="" w:eastAsia="Calibri" w:hAnsi="Calibri" w:asciiTheme="minorHAnsi" w:cstheme="minorBidi" w:eastAsiaTheme="minorHAnsi" w:hAnsiTheme="minorHAnsi"/>
      <w:color w:val="auto"/>
      <w:kern w:val="0"/>
      <w:sz w:val="22"/>
      <w:szCs w:val="22"/>
      <w:lang w:bidi="ar-SA" w:eastAsia="en-US" w:val="cs-CZ"/>
    </w:rPr>
  </w:style>
  <w:style w:type="paragraph" w:styleId="Heading1">
    <w:name w:val="Heading 1"/>
    <w:basedOn w:val="Normal"/>
    <w:link w:val="Nadpis1Char"/>
    <w:uiPriority w:val="9"/>
    <w:qFormat w:val="1"/>
    <w:rsid w:val="006D371C"/>
    <w:pPr>
      <w:spacing w:afterAutospacing="1" w:beforeAutospacing="1" w:line="240" w:lineRule="auto"/>
      <w:outlineLvl w:val="0"/>
    </w:pPr>
    <w:rPr>
      <w:rFonts w:ascii="Times New Roman" w:cs="Times New Roman" w:eastAsia="Times New Roman" w:hAnsi="Times New Roman"/>
      <w:b w:val="1"/>
      <w:bCs w:val="1"/>
      <w:kern w:val="2"/>
      <w:sz w:val="48"/>
      <w:szCs w:val="48"/>
      <w:lang w:eastAsia="cs-CZ"/>
    </w:rPr>
  </w:style>
  <w:style w:type="character" w:styleId="DefaultParagraphFont" w:default="1">
    <w:name w:val="Default Paragraph Font"/>
    <w:uiPriority w:val="1"/>
    <w:semiHidden w:val="1"/>
    <w:unhideWhenUsed w:val="1"/>
    <w:qFormat w:val="1"/>
    <w:rPr/>
  </w:style>
  <w:style w:type="character" w:styleId="Nadpis1Char" w:customStyle="1">
    <w:name w:val="Nadpis 1 Char"/>
    <w:basedOn w:val="DefaultParagraphFont"/>
    <w:link w:val="Nadpis1"/>
    <w:uiPriority w:val="9"/>
    <w:qFormat w:val="1"/>
    <w:rsid w:val="006D371C"/>
    <w:rPr>
      <w:rFonts w:ascii="Times New Roman" w:cs="Times New Roman" w:eastAsia="Times New Roman" w:hAnsi="Times New Roman"/>
      <w:b w:val="1"/>
      <w:bCs w:val="1"/>
      <w:kern w:val="2"/>
      <w:sz w:val="48"/>
      <w:szCs w:val="48"/>
      <w:lang w:eastAsia="cs-CZ"/>
    </w:rPr>
  </w:style>
  <w:style w:type="character" w:styleId="StrongEmphasis">
    <w:name w:val="Strong Emphasis"/>
    <w:qFormat w:val="1"/>
    <w:rPr>
      <w:b w:val="1"/>
      <w:bCs w:val="1"/>
    </w:rPr>
  </w:style>
  <w:style w:type="paragraph" w:styleId="Heading">
    <w:name w:val="Heading"/>
    <w:basedOn w:val="Normal"/>
    <w:next w:val="TextBody"/>
    <w:qFormat w:val="1"/>
    <w:pPr>
      <w:keepNext w:val="1"/>
      <w:spacing w:after="120" w:before="240"/>
    </w:pPr>
    <w:rPr>
      <w:rFonts w:ascii="Arial" w:cs="Arial" w:eastAsia="Microsoft YaHei" w:hAnsi="Arial"/>
      <w:sz w:val="28"/>
      <w:szCs w:val="28"/>
    </w:rPr>
  </w:style>
  <w:style w:type="paragraph" w:styleId="TextBody">
    <w:name w:val="Body Text"/>
    <w:basedOn w:val="Normal"/>
    <w:pPr>
      <w:spacing w:after="140" w:before="0" w:line="276" w:lineRule="auto"/>
    </w:pPr>
    <w:rPr/>
  </w:style>
  <w:style w:type="paragraph" w:styleId="List">
    <w:name w:val="List"/>
    <w:basedOn w:val="TextBody"/>
    <w:pPr/>
    <w:rPr>
      <w:rFonts w:cs="Arial"/>
    </w:rPr>
  </w:style>
  <w:style w:type="paragraph" w:styleId="Caption">
    <w:name w:val="Caption"/>
    <w:basedOn w:val="Normal"/>
    <w:qFormat w:val="1"/>
    <w:pPr>
      <w:suppressLineNumbers w:val="1"/>
      <w:spacing w:after="120" w:before="120"/>
    </w:pPr>
    <w:rPr>
      <w:rFonts w:cs="Arial"/>
      <w:i w:val="1"/>
      <w:iCs w:val="1"/>
      <w:sz w:val="24"/>
      <w:szCs w:val="24"/>
    </w:rPr>
  </w:style>
  <w:style w:type="paragraph" w:styleId="Index">
    <w:name w:val="Index"/>
    <w:basedOn w:val="Normal"/>
    <w:qFormat w:val="1"/>
    <w:pPr>
      <w:suppressLineNumbers w:val="1"/>
    </w:pPr>
    <w:rPr>
      <w:rFonts w:cs="Arial"/>
    </w:rPr>
  </w:style>
  <w:style w:type="numbering" w:styleId="NoList" w:default="1">
    <w:name w:val="No List"/>
    <w:uiPriority w:val="99"/>
    <w:semiHidden w:val="1"/>
    <w:unhideWhenUsed w:val="1"/>
    <w:qFormat w:val="1"/>
  </w:style>
  <w:style w:type="table" w:styleId="Normlntabulka" w:default="1">
    <w:name w:val="Normal Table"/>
    <w:uiPriority w:val="99"/>
    <w:semiHidden w:val="1"/>
    <w:unhideWhenUsed w:val="1"/>
    <w:tblPr>
      <w:tblInd w:w="0.0" w:type="dxa"/>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EBGaramond-regular.ttf"/><Relationship Id="rId2" Type="http://schemas.openxmlformats.org/officeDocument/2006/relationships/font" Target="fonts/EBGaramond-bold.ttf"/><Relationship Id="rId3" Type="http://schemas.openxmlformats.org/officeDocument/2006/relationships/font" Target="fonts/EBGaramond-italic.ttf"/><Relationship Id="rId4" Type="http://schemas.openxmlformats.org/officeDocument/2006/relationships/font" Target="fonts/EBGaramond-boldItalic.ttf"/><Relationship Id="rId5" Type="http://schemas.openxmlformats.org/officeDocument/2006/relationships/font" Target="fonts/OpenSans-regular.ttf"/><Relationship Id="rId6" Type="http://schemas.openxmlformats.org/officeDocument/2006/relationships/font" Target="fonts/OpenSans-bold.ttf"/><Relationship Id="rId7" Type="http://schemas.openxmlformats.org/officeDocument/2006/relationships/font" Target="fonts/OpenSans-italic.ttf"/><Relationship Id="rId8" Type="http://schemas.openxmlformats.org/officeDocument/2006/relationships/font" Target="fonts/OpenSans-boldItalic.ttf"/></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qxEXla6Z0VKocauKU1hKoDjiI5g==">AMUW2mWWJsQUbZGkc7Ba5MO8Q5n63U8tjUhNUTx5NkVSiig3r0+UQf2Cz1aVtE8eJfV3mRNsggdW4sz0bRGg8qZ2YXVXeAeCHSdC/9OIQ7woozMbxtRpJQY=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2017-06-23T12:24:00Z</dcterms:created>
  <dc:creator>User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